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Times New Roman"/>
          <w:b/>
          <w:bCs/>
          <w:color w:val="000000"/>
          <w:spacing w:val="15"/>
          <w:sz w:val="44"/>
          <w:szCs w:val="44"/>
        </w:rPr>
      </w:pPr>
    </w:p>
    <w:p>
      <w:pPr>
        <w:spacing w:line="560" w:lineRule="exact"/>
        <w:jc w:val="center"/>
        <w:rPr>
          <w:rFonts w:ascii="黑体" w:hAnsi="黑体" w:eastAsia="黑体" w:cs="Times New Roman"/>
          <w:b/>
          <w:bCs/>
          <w:color w:val="000000"/>
          <w:spacing w:val="15"/>
          <w:sz w:val="44"/>
          <w:szCs w:val="44"/>
        </w:rPr>
      </w:pPr>
    </w:p>
    <w:p>
      <w:pPr>
        <w:spacing w:line="560" w:lineRule="exact"/>
        <w:jc w:val="center"/>
        <w:rPr>
          <w:rFonts w:ascii="黑体" w:hAnsi="黑体" w:eastAsia="黑体" w:cs="Times New Roman"/>
          <w:b/>
          <w:bCs/>
          <w:color w:val="000000"/>
          <w:spacing w:val="15"/>
          <w:sz w:val="44"/>
          <w:szCs w:val="44"/>
        </w:rPr>
      </w:pPr>
    </w:p>
    <w:p>
      <w:pPr>
        <w:spacing w:line="560" w:lineRule="exact"/>
        <w:jc w:val="center"/>
        <w:rPr>
          <w:rFonts w:ascii="黑体" w:hAnsi="黑体" w:eastAsia="黑体" w:cs="Times New Roman"/>
          <w:b/>
          <w:bCs/>
          <w:color w:val="000000"/>
          <w:spacing w:val="15"/>
          <w:sz w:val="44"/>
          <w:szCs w:val="44"/>
        </w:rPr>
      </w:pPr>
    </w:p>
    <w:p>
      <w:pPr>
        <w:spacing w:line="560" w:lineRule="exact"/>
        <w:jc w:val="center"/>
        <w:rPr>
          <w:rFonts w:ascii="黑体" w:hAnsi="黑体" w:eastAsia="黑体" w:cs="Times New Roman"/>
          <w:b/>
          <w:bCs/>
          <w:color w:val="000000"/>
          <w:spacing w:val="15"/>
          <w:sz w:val="44"/>
          <w:szCs w:val="44"/>
        </w:rPr>
      </w:pPr>
    </w:p>
    <w:p>
      <w:pPr>
        <w:spacing w:line="560" w:lineRule="exact"/>
        <w:jc w:val="center"/>
        <w:rPr>
          <w:rFonts w:ascii="黑体" w:hAnsi="黑体" w:eastAsia="黑体" w:cs="Times New Roman"/>
          <w:b/>
          <w:bCs/>
          <w:color w:val="000000"/>
          <w:spacing w:val="15"/>
          <w:sz w:val="44"/>
          <w:szCs w:val="44"/>
        </w:rPr>
      </w:pPr>
    </w:p>
    <w:p>
      <w:pPr>
        <w:spacing w:line="560" w:lineRule="exact"/>
        <w:jc w:val="center"/>
        <w:rPr>
          <w:rFonts w:ascii="黑体" w:hAnsi="黑体" w:eastAsia="黑体" w:cs="Times New Roman"/>
          <w:b/>
          <w:bCs/>
          <w:color w:val="000000"/>
          <w:spacing w:val="15"/>
          <w:sz w:val="44"/>
          <w:szCs w:val="44"/>
        </w:rPr>
      </w:pPr>
    </w:p>
    <w:p>
      <w:pPr>
        <w:spacing w:line="560" w:lineRule="exact"/>
        <w:jc w:val="center"/>
        <w:rPr>
          <w:rFonts w:ascii="黑体" w:hAnsi="黑体" w:eastAsia="黑体" w:cs="Times New Roman"/>
          <w:b/>
          <w:bCs/>
          <w:color w:val="000000"/>
          <w:spacing w:val="15"/>
          <w:sz w:val="44"/>
          <w:szCs w:val="44"/>
        </w:rPr>
      </w:pPr>
    </w:p>
    <w:p>
      <w:pPr>
        <w:spacing w:line="560" w:lineRule="exact"/>
        <w:jc w:val="center"/>
        <w:rPr>
          <w:rFonts w:ascii="黑体" w:hAnsi="黑体" w:eastAsia="黑体" w:cs="Times New Roman"/>
          <w:b/>
          <w:bCs/>
          <w:color w:val="000000"/>
          <w:spacing w:val="15"/>
          <w:sz w:val="44"/>
          <w:szCs w:val="44"/>
        </w:rPr>
      </w:pPr>
    </w:p>
    <w:p>
      <w:pPr>
        <w:spacing w:line="560" w:lineRule="exact"/>
        <w:jc w:val="center"/>
        <w:rPr>
          <w:rFonts w:ascii="黑体" w:hAnsi="黑体" w:eastAsia="黑体" w:cs="Times New Roman"/>
          <w:b/>
          <w:bCs/>
          <w:color w:val="000000"/>
          <w:spacing w:val="15"/>
          <w:sz w:val="44"/>
          <w:szCs w:val="44"/>
        </w:rPr>
      </w:pPr>
    </w:p>
    <w:p>
      <w:pPr>
        <w:spacing w:line="560" w:lineRule="exact"/>
        <w:jc w:val="center"/>
        <w:rPr>
          <w:rFonts w:ascii="黑体" w:hAnsi="黑体" w:eastAsia="黑体" w:cs="Times New Roman"/>
          <w:b/>
          <w:bCs/>
          <w:color w:val="000000"/>
          <w:spacing w:val="15"/>
          <w:sz w:val="44"/>
          <w:szCs w:val="44"/>
        </w:rPr>
      </w:pPr>
      <w:r>
        <w:rPr>
          <w:rFonts w:ascii="黑体" w:hAnsi="黑体" w:eastAsia="黑体" w:cs="Times New Roman"/>
          <w:b/>
          <w:bCs/>
          <w:color w:val="000000"/>
          <w:spacing w:val="15"/>
          <w:sz w:val="44"/>
          <w:szCs w:val="44"/>
        </w:rPr>
        <w:t>金华市“一带一路”贸易投资促进</w:t>
      </w:r>
    </w:p>
    <w:p>
      <w:pPr>
        <w:spacing w:line="560" w:lineRule="exact"/>
        <w:jc w:val="center"/>
        <w:rPr>
          <w:rFonts w:ascii="黑体" w:hAnsi="黑体" w:eastAsia="黑体" w:cs="Times New Roman"/>
          <w:b/>
          <w:bCs/>
          <w:color w:val="000000"/>
          <w:spacing w:val="15"/>
          <w:sz w:val="44"/>
          <w:szCs w:val="44"/>
        </w:rPr>
      </w:pPr>
      <w:r>
        <w:rPr>
          <w:rFonts w:ascii="黑体" w:hAnsi="黑体" w:eastAsia="黑体" w:cs="Times New Roman"/>
          <w:b/>
          <w:bCs/>
          <w:color w:val="000000"/>
          <w:spacing w:val="15"/>
          <w:sz w:val="44"/>
          <w:szCs w:val="44"/>
        </w:rPr>
        <w:t>中心2021年单位预算</w:t>
      </w:r>
    </w:p>
    <w:p>
      <w:pPr>
        <w:pStyle w:val="2"/>
        <w:rPr>
          <w:rFonts w:hint="default" w:ascii="黑体" w:hAnsi="黑体" w:eastAsia="黑体"/>
          <w:b/>
          <w:bCs/>
          <w:spacing w:val="15"/>
          <w:sz w:val="44"/>
          <w:szCs w:val="44"/>
        </w:rPr>
      </w:pPr>
    </w:p>
    <w:p>
      <w:pPr>
        <w:pStyle w:val="2"/>
        <w:rPr>
          <w:rFonts w:hint="default" w:ascii="黑体" w:hAnsi="黑体" w:eastAsia="黑体"/>
          <w:b/>
          <w:bCs/>
          <w:spacing w:val="15"/>
          <w:sz w:val="44"/>
          <w:szCs w:val="44"/>
        </w:rPr>
      </w:pPr>
    </w:p>
    <w:p>
      <w:pPr>
        <w:pStyle w:val="2"/>
        <w:rPr>
          <w:rFonts w:hint="default" w:ascii="黑体" w:hAnsi="黑体" w:eastAsia="黑体"/>
          <w:b/>
          <w:bCs/>
          <w:spacing w:val="15"/>
          <w:sz w:val="44"/>
          <w:szCs w:val="44"/>
        </w:rPr>
      </w:pPr>
    </w:p>
    <w:p>
      <w:pPr>
        <w:pStyle w:val="2"/>
        <w:rPr>
          <w:rFonts w:hint="default" w:ascii="黑体" w:hAnsi="黑体" w:eastAsia="黑体"/>
          <w:b/>
          <w:bCs/>
          <w:spacing w:val="15"/>
          <w:sz w:val="44"/>
          <w:szCs w:val="44"/>
        </w:rPr>
      </w:pPr>
    </w:p>
    <w:p>
      <w:pPr>
        <w:pStyle w:val="2"/>
        <w:rPr>
          <w:rFonts w:hint="default" w:ascii="黑体" w:hAnsi="黑体" w:eastAsia="黑体"/>
          <w:b/>
          <w:bCs/>
          <w:spacing w:val="15"/>
          <w:sz w:val="44"/>
          <w:szCs w:val="44"/>
        </w:rPr>
      </w:pPr>
    </w:p>
    <w:p>
      <w:pPr>
        <w:pStyle w:val="2"/>
        <w:rPr>
          <w:rFonts w:hint="default" w:ascii="黑体" w:hAnsi="黑体" w:eastAsia="黑体"/>
          <w:b/>
          <w:bCs/>
          <w:spacing w:val="15"/>
          <w:sz w:val="44"/>
          <w:szCs w:val="44"/>
        </w:rPr>
      </w:pPr>
    </w:p>
    <w:p>
      <w:pPr>
        <w:pStyle w:val="2"/>
        <w:rPr>
          <w:rFonts w:hint="default" w:ascii="黑体" w:hAnsi="黑体" w:eastAsia="黑体"/>
          <w:b/>
          <w:bCs/>
          <w:spacing w:val="15"/>
          <w:sz w:val="44"/>
          <w:szCs w:val="44"/>
        </w:rPr>
      </w:pPr>
    </w:p>
    <w:p>
      <w:pPr>
        <w:pStyle w:val="2"/>
        <w:rPr>
          <w:rFonts w:hint="default" w:ascii="黑体" w:hAnsi="黑体" w:eastAsia="黑体"/>
          <w:b/>
          <w:bCs/>
          <w:spacing w:val="15"/>
          <w:sz w:val="44"/>
          <w:szCs w:val="44"/>
        </w:rPr>
      </w:pPr>
    </w:p>
    <w:p>
      <w:pPr>
        <w:pStyle w:val="2"/>
        <w:rPr>
          <w:rFonts w:hint="default" w:ascii="黑体" w:hAnsi="黑体" w:eastAsia="黑体"/>
          <w:b/>
          <w:bCs/>
          <w:spacing w:val="15"/>
          <w:sz w:val="44"/>
          <w:szCs w:val="44"/>
        </w:rPr>
      </w:pPr>
    </w:p>
    <w:p>
      <w:pPr>
        <w:pStyle w:val="2"/>
        <w:rPr>
          <w:rFonts w:hint="default" w:ascii="黑体" w:hAnsi="黑体" w:eastAsia="黑体"/>
          <w:b/>
          <w:bCs/>
          <w:spacing w:val="15"/>
          <w:sz w:val="44"/>
          <w:szCs w:val="44"/>
        </w:rPr>
      </w:pPr>
    </w:p>
    <w:p>
      <w:pPr>
        <w:spacing w:line="520" w:lineRule="exact"/>
        <w:rPr>
          <w:rStyle w:val="8"/>
          <w:rFonts w:ascii="黑体" w:eastAsia="黑体"/>
          <w:b w:val="0"/>
          <w:color w:val="000000"/>
        </w:rPr>
      </w:pPr>
    </w:p>
    <w:p>
      <w:pPr>
        <w:spacing w:line="520" w:lineRule="exact"/>
        <w:jc w:val="center"/>
        <w:rPr>
          <w:rStyle w:val="8"/>
          <w:rFonts w:ascii="黑体" w:eastAsia="黑体"/>
          <w:b w:val="0"/>
          <w:color w:val="000000"/>
        </w:rPr>
      </w:pPr>
      <w:r>
        <w:rPr>
          <w:rStyle w:val="8"/>
          <w:rFonts w:hint="eastAsia" w:ascii="黑体" w:eastAsia="黑体"/>
          <w:b w:val="0"/>
          <w:color w:val="000000"/>
        </w:rPr>
        <w:t>目录</w:t>
      </w:r>
    </w:p>
    <w:p>
      <w:pPr>
        <w:spacing w:line="520" w:lineRule="exact"/>
        <w:rPr>
          <w:rFonts w:ascii="Times New Roman" w:hAnsi="Times New Roman" w:eastAsia="黑体"/>
          <w:sz w:val="32"/>
        </w:rPr>
      </w:pPr>
      <w:r>
        <w:rPr>
          <w:rFonts w:hint="eastAsia" w:ascii="黑体" w:eastAsia="黑体"/>
          <w:color w:val="000000"/>
          <w:sz w:val="32"/>
        </w:rPr>
        <w:t>一、金华市</w:t>
      </w:r>
      <w:r>
        <w:rPr>
          <w:rStyle w:val="8"/>
          <w:rFonts w:hint="eastAsia" w:ascii="黑体" w:eastAsia="黑体"/>
          <w:b w:val="0"/>
          <w:color w:val="000000"/>
        </w:rPr>
        <w:t>“一带一路”贸易投资促进中心概况</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（一）主要职能</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（二）部门（单位）机构设置情况</w:t>
      </w:r>
    </w:p>
    <w:p>
      <w:pPr>
        <w:spacing w:line="520" w:lineRule="exact"/>
        <w:rPr>
          <w:rStyle w:val="8"/>
          <w:rFonts w:ascii="黑体" w:eastAsia="黑体"/>
          <w:b w:val="0"/>
          <w:color w:val="000000"/>
        </w:rPr>
      </w:pPr>
      <w:r>
        <w:rPr>
          <w:rStyle w:val="8"/>
          <w:rFonts w:hint="eastAsia" w:ascii="黑体" w:eastAsia="黑体"/>
          <w:b w:val="0"/>
          <w:color w:val="000000"/>
        </w:rPr>
        <w:t>二、金华市“一带一路”贸易投资促进中心2021年部门（单位）预算安排情况说明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（一）关于“一带一路”贸促中心2021年收支预算情况的总体说明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（二）关于“一带一路”贸促中心2021年收入预算情况说明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（三）关于“一带一路”贸促中心2021年支出预算情况说明</w:t>
      </w:r>
      <w:r>
        <w:rPr>
          <w:rFonts w:hint="eastAsia" w:ascii="楷体_GB2312" w:hAnsi="楷体_GB2312" w:eastAsia="楷体_GB2312" w:cs="楷体_GB2312"/>
          <w:bCs/>
          <w:sz w:val="32"/>
          <w:szCs w:val="32"/>
        </w:rPr>
        <w:br w:type="textWrapping"/>
      </w:r>
      <w:r>
        <w:rPr>
          <w:rFonts w:hint="eastAsia" w:ascii="楷体_GB2312" w:hAnsi="楷体_GB2312" w:eastAsia="楷体_GB2312" w:cs="楷体_GB2312"/>
          <w:bCs/>
          <w:sz w:val="32"/>
          <w:szCs w:val="32"/>
        </w:rPr>
        <w:t>（四）关于“一带一路”贸促中心2021年财政拨款收支预算情况的总体说明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（五）关于“一带一路”贸促中心2021年一般公共预算当年拨款情况说明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（六）关于“一带一路”贸促中心2021年一般公共预算基本支出情况说明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（七）关于“一带一路”贸促中心2021年政府性基金预算支出情况说明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（八）关于“一带一路”贸促中心2021年一般公共预算“三公”经费预算情况说明</w:t>
      </w:r>
    </w:p>
    <w:p>
      <w:pPr>
        <w:spacing w:line="53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（九）</w:t>
      </w:r>
      <w:r>
        <w:rPr>
          <w:rFonts w:ascii="Times New Roman" w:hAnsi="Times New Roman" w:eastAsia="楷体" w:cs="Times New Roman"/>
          <w:color w:val="000000"/>
          <w:sz w:val="32"/>
          <w:szCs w:val="32"/>
        </w:rPr>
        <w:t>其他重要事项的情况说明（分项说明内容不可缺失）</w:t>
      </w:r>
    </w:p>
    <w:p>
      <w:pPr>
        <w:pStyle w:val="11"/>
        <w:spacing w:line="520" w:lineRule="exact"/>
        <w:rPr>
          <w:rStyle w:val="8"/>
          <w:rFonts w:ascii="黑体" w:hAnsi="Calibri" w:eastAsia="黑体" w:cs="Times New Roman"/>
          <w:b w:val="0"/>
          <w:color w:val="000000"/>
          <w:kern w:val="2"/>
        </w:rPr>
      </w:pPr>
      <w:r>
        <w:rPr>
          <w:rStyle w:val="8"/>
          <w:rFonts w:hint="eastAsia" w:ascii="黑体" w:hAnsi="Calibri" w:eastAsia="黑体" w:cs="Times New Roman"/>
          <w:b w:val="0"/>
          <w:color w:val="000000"/>
          <w:kern w:val="2"/>
        </w:rPr>
        <w:t>三、名词解释</w:t>
      </w:r>
    </w:p>
    <w:p>
      <w:pPr>
        <w:spacing w:line="520" w:lineRule="exact"/>
        <w:rPr>
          <w:rStyle w:val="8"/>
          <w:rFonts w:ascii="黑体" w:eastAsia="黑体"/>
          <w:b w:val="0"/>
          <w:color w:val="000000"/>
        </w:rPr>
      </w:pPr>
      <w:r>
        <w:rPr>
          <w:rStyle w:val="8"/>
          <w:rFonts w:hint="eastAsia" w:ascii="黑体" w:eastAsia="黑体"/>
          <w:b w:val="0"/>
          <w:color w:val="000000"/>
        </w:rPr>
        <w:t>四、金华市本级2021年市级部门预算公开表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（一）2021年金华市直部门（单位）收支预算总表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（二）2021年金华市直部门（单位）收入预算总表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（三）2021年市级部门支出预算总表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（四）2021年金华市直部门（单位）财政拨款收支预算表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（五）2021年市级部门一般公共预算支出表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（六）2021年市级部门一般公共预算基本支出表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（七）2021年市级部门一般公共预算“三公”经费支出表（八）2021年市级部门政府性基金预算支出表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（九）2021年金华市直部门（单位）支出预算分类科目汇总表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 2021年金华市直部门（单位）预算财政拨款重点项目支出预算表</w:t>
      </w:r>
    </w:p>
    <w:p>
      <w:pPr>
        <w:spacing w:line="560" w:lineRule="exact"/>
        <w:ind w:firstLine="630" w:firstLineChars="196"/>
        <w:rPr>
          <w:rStyle w:val="8"/>
          <w:rFonts w:ascii="Times New Roman" w:hAnsi="Times New Roman" w:eastAsia="仿宋" w:cs="Times New Roman"/>
          <w:bCs w:val="0"/>
          <w:color w:val="000000"/>
        </w:rPr>
      </w:pPr>
    </w:p>
    <w:p>
      <w:pPr>
        <w:spacing w:line="560" w:lineRule="exact"/>
        <w:ind w:firstLine="627" w:firstLineChars="196"/>
        <w:rPr>
          <w:rStyle w:val="8"/>
          <w:rFonts w:ascii="黑体" w:hAnsi="黑体" w:eastAsia="黑体" w:cs="Times New Roman"/>
          <w:b w:val="0"/>
          <w:bCs w:val="0"/>
          <w:color w:val="000000"/>
        </w:rPr>
      </w:pPr>
    </w:p>
    <w:p>
      <w:pPr>
        <w:spacing w:line="560" w:lineRule="exact"/>
        <w:ind w:firstLine="627" w:firstLineChars="196"/>
        <w:rPr>
          <w:rStyle w:val="8"/>
          <w:rFonts w:ascii="黑体" w:hAnsi="黑体" w:eastAsia="黑体" w:cs="Times New Roman"/>
          <w:b w:val="0"/>
          <w:bCs w:val="0"/>
          <w:color w:val="000000"/>
        </w:rPr>
      </w:pPr>
    </w:p>
    <w:p>
      <w:pPr>
        <w:spacing w:line="560" w:lineRule="exact"/>
        <w:ind w:firstLine="627" w:firstLineChars="196"/>
        <w:rPr>
          <w:rStyle w:val="8"/>
          <w:rFonts w:ascii="黑体" w:hAnsi="黑体" w:eastAsia="黑体" w:cs="Times New Roman"/>
          <w:b w:val="0"/>
          <w:bCs w:val="0"/>
          <w:color w:val="000000"/>
        </w:rPr>
      </w:pPr>
    </w:p>
    <w:p>
      <w:pPr>
        <w:spacing w:line="560" w:lineRule="exact"/>
        <w:ind w:firstLine="627" w:firstLineChars="196"/>
        <w:rPr>
          <w:rStyle w:val="8"/>
          <w:rFonts w:ascii="黑体" w:hAnsi="黑体" w:eastAsia="黑体" w:cs="Times New Roman"/>
          <w:b w:val="0"/>
          <w:bCs w:val="0"/>
          <w:color w:val="000000"/>
        </w:rPr>
      </w:pPr>
    </w:p>
    <w:p>
      <w:pPr>
        <w:spacing w:line="560" w:lineRule="exact"/>
        <w:ind w:firstLine="627" w:firstLineChars="196"/>
        <w:rPr>
          <w:rStyle w:val="8"/>
          <w:rFonts w:ascii="黑体" w:hAnsi="黑体" w:eastAsia="黑体" w:cs="Times New Roman"/>
          <w:b w:val="0"/>
          <w:bCs w:val="0"/>
          <w:color w:val="000000"/>
        </w:rPr>
      </w:pPr>
    </w:p>
    <w:p>
      <w:pPr>
        <w:spacing w:line="560" w:lineRule="exact"/>
        <w:rPr>
          <w:rStyle w:val="8"/>
          <w:rFonts w:ascii="黑体" w:hAnsi="黑体" w:eastAsia="黑体" w:cs="Times New Roman"/>
          <w:b w:val="0"/>
          <w:bCs w:val="0"/>
          <w:color w:val="000000"/>
        </w:rPr>
      </w:pPr>
    </w:p>
    <w:p>
      <w:pPr>
        <w:spacing w:line="560" w:lineRule="exact"/>
        <w:rPr>
          <w:rStyle w:val="8"/>
          <w:rFonts w:ascii="黑体" w:hAnsi="黑体" w:eastAsia="黑体" w:cs="Times New Roman"/>
          <w:b w:val="0"/>
          <w:bCs w:val="0"/>
          <w:color w:val="000000"/>
        </w:rPr>
      </w:pPr>
      <w:r>
        <w:rPr>
          <w:rStyle w:val="8"/>
          <w:rFonts w:ascii="黑体" w:hAnsi="黑体" w:eastAsia="黑体" w:cs="Times New Roman"/>
          <w:b w:val="0"/>
          <w:bCs w:val="0"/>
          <w:color w:val="000000"/>
        </w:rPr>
        <w:t>一、</w:t>
      </w:r>
      <w:r>
        <w:rPr>
          <w:rFonts w:ascii="黑体" w:hAnsi="黑体" w:eastAsia="黑体" w:cs="Times New Roman"/>
          <w:b/>
          <w:color w:val="000000"/>
          <w:sz w:val="32"/>
          <w:szCs w:val="32"/>
        </w:rPr>
        <w:t>金华市 “一带一路”贸易投资促进中心</w:t>
      </w:r>
      <w:r>
        <w:rPr>
          <w:rFonts w:hint="eastAsia" w:ascii="黑体" w:hAnsi="黑体" w:eastAsia="黑体" w:cs="Times New Roman"/>
          <w:b/>
          <w:color w:val="000000"/>
          <w:sz w:val="32"/>
          <w:szCs w:val="32"/>
        </w:rPr>
        <w:t>概况</w:t>
      </w:r>
    </w:p>
    <w:p>
      <w:pPr>
        <w:spacing w:line="560" w:lineRule="exact"/>
        <w:ind w:firstLine="630" w:firstLineChars="196"/>
        <w:rPr>
          <w:rFonts w:ascii="Times New Roman" w:hAnsi="Times New Roman" w:eastAsia="仿宋" w:cs="Times New Roman"/>
          <w:b/>
          <w:color w:val="000000"/>
          <w:sz w:val="32"/>
          <w:szCs w:val="32"/>
        </w:rPr>
      </w:pPr>
      <w:r>
        <w:rPr>
          <w:rFonts w:ascii="Times New Roman" w:hAnsi="仿宋" w:eastAsia="仿宋" w:cs="Times New Roman"/>
          <w:b/>
          <w:color w:val="000000"/>
          <w:sz w:val="32"/>
          <w:szCs w:val="32"/>
        </w:rPr>
        <w:t>（一）主要职能</w:t>
      </w:r>
    </w:p>
    <w:p>
      <w:pPr>
        <w:spacing w:beforeLines="0" w:afterLines="0" w:line="560" w:lineRule="exact"/>
        <w:ind w:firstLine="640" w:firstLineChars="200"/>
        <w:rPr>
          <w:rFonts w:hint="eastAsia" w:ascii="Times New Roman" w:hAnsi="Times New Roman" w:eastAsia="仿宋" w:cs="Times New Roman"/>
          <w:bCs/>
          <w:color w:val="000000"/>
          <w:kern w:val="2"/>
          <w:sz w:val="32"/>
          <w:szCs w:val="32"/>
          <w:lang w:val="en-US" w:eastAsia="zh-CN" w:bidi="ar-SA"/>
        </w:rPr>
      </w:pPr>
      <w:r>
        <w:rPr>
          <w:rFonts w:hint="eastAsia" w:ascii="Times New Roman" w:hAnsi="Times New Roman" w:eastAsia="仿宋" w:cs="Times New Roman"/>
          <w:bCs/>
          <w:color w:val="000000"/>
          <w:kern w:val="2"/>
          <w:sz w:val="32"/>
          <w:szCs w:val="32"/>
          <w:lang w:val="en-US" w:eastAsia="zh-CN" w:bidi="ar-SA"/>
        </w:rPr>
        <w:t>1、承担全市企业拓展“一带一路”沿线国家市场的相关工作。</w:t>
      </w:r>
    </w:p>
    <w:p>
      <w:pPr>
        <w:spacing w:beforeLines="0" w:afterLines="0" w:line="560" w:lineRule="exact"/>
        <w:ind w:firstLine="640" w:firstLineChars="200"/>
        <w:rPr>
          <w:rFonts w:hint="eastAsia" w:ascii="Times New Roman" w:hAnsi="Times New Roman" w:eastAsia="仿宋" w:cs="Times New Roman"/>
          <w:bCs/>
          <w:color w:val="000000"/>
          <w:kern w:val="2"/>
          <w:sz w:val="32"/>
          <w:szCs w:val="32"/>
          <w:lang w:val="en-US" w:eastAsia="zh-CN" w:bidi="ar-SA"/>
        </w:rPr>
      </w:pPr>
      <w:r>
        <w:rPr>
          <w:rFonts w:hint="eastAsia" w:ascii="Times New Roman" w:hAnsi="Times New Roman" w:eastAsia="仿宋" w:cs="Times New Roman"/>
          <w:bCs/>
          <w:color w:val="000000"/>
          <w:kern w:val="2"/>
          <w:sz w:val="32"/>
          <w:szCs w:val="32"/>
          <w:lang w:val="en-US" w:eastAsia="zh-CN" w:bidi="ar-SA"/>
        </w:rPr>
        <w:t>2、负责推进全市企业融入“一带一路”建设的对接平台，促进企业在沿线国家设立生产和销售网点，共建经贸合作产业园，加强“一带一路”沿线国家的招商引资工作，促进“一带一路”沿线国家双向投资。</w:t>
      </w:r>
    </w:p>
    <w:p>
      <w:pPr>
        <w:spacing w:beforeLines="0" w:afterLines="0" w:line="560" w:lineRule="exact"/>
        <w:ind w:firstLine="640" w:firstLineChars="200"/>
        <w:rPr>
          <w:rFonts w:hint="eastAsia" w:ascii="Times New Roman" w:hAnsi="Times New Roman" w:eastAsia="仿宋" w:cs="Times New Roman"/>
          <w:bCs/>
          <w:color w:val="000000"/>
          <w:kern w:val="2"/>
          <w:sz w:val="32"/>
          <w:szCs w:val="32"/>
          <w:lang w:val="en-US" w:eastAsia="zh-CN" w:bidi="ar-SA"/>
        </w:rPr>
      </w:pPr>
      <w:r>
        <w:rPr>
          <w:rFonts w:hint="eastAsia" w:ascii="Times New Roman" w:hAnsi="Times New Roman" w:eastAsia="仿宋" w:cs="Times New Roman"/>
          <w:bCs/>
          <w:color w:val="000000"/>
          <w:kern w:val="2"/>
          <w:sz w:val="32"/>
          <w:szCs w:val="32"/>
          <w:lang w:val="en-US" w:eastAsia="zh-CN" w:bidi="ar-SA"/>
        </w:rPr>
        <w:t>3、组织全市企业与“一带一路”沿线国家的经济贸易界、商会协会、贸促机构和其他经贸团体的交流合作，提供沿线国家的信息和政策咨询服务。</w:t>
      </w:r>
    </w:p>
    <w:p>
      <w:pPr>
        <w:spacing w:beforeLines="0" w:afterLines="0" w:line="560" w:lineRule="exact"/>
        <w:ind w:firstLine="640" w:firstLineChars="200"/>
        <w:rPr>
          <w:rFonts w:hint="eastAsia" w:ascii="Times New Roman" w:hAnsi="Times New Roman" w:eastAsia="仿宋" w:cs="Times New Roman"/>
          <w:bCs/>
          <w:color w:val="000000"/>
          <w:kern w:val="2"/>
          <w:sz w:val="32"/>
          <w:szCs w:val="32"/>
          <w:lang w:val="en-US" w:eastAsia="zh-CN" w:bidi="ar-SA"/>
        </w:rPr>
      </w:pPr>
      <w:r>
        <w:rPr>
          <w:rFonts w:hint="eastAsia" w:ascii="Times New Roman" w:hAnsi="Times New Roman" w:eastAsia="仿宋" w:cs="Times New Roman"/>
          <w:bCs/>
          <w:color w:val="000000"/>
          <w:kern w:val="2"/>
          <w:sz w:val="32"/>
          <w:szCs w:val="32"/>
          <w:lang w:val="en-US" w:eastAsia="zh-CN" w:bidi="ar-SA"/>
        </w:rPr>
        <w:t>4、开展与境外贸易促进机构的合作交流，组织开展经贸论坛、采购对接会、贸易洽谈会和展会等活动。</w:t>
      </w:r>
    </w:p>
    <w:p>
      <w:pPr>
        <w:spacing w:beforeLines="0" w:afterLines="0" w:line="560" w:lineRule="exact"/>
        <w:ind w:firstLine="640" w:firstLineChars="200"/>
        <w:rPr>
          <w:rFonts w:hint="eastAsia" w:ascii="Times New Roman" w:hAnsi="Times New Roman" w:eastAsia="仿宋" w:cs="Times New Roman"/>
          <w:bCs/>
          <w:color w:val="000000"/>
          <w:kern w:val="2"/>
          <w:sz w:val="32"/>
          <w:szCs w:val="32"/>
          <w:lang w:val="en-US" w:eastAsia="zh-CN" w:bidi="ar-SA"/>
        </w:rPr>
      </w:pPr>
      <w:r>
        <w:rPr>
          <w:rFonts w:hint="eastAsia" w:ascii="Times New Roman" w:hAnsi="Times New Roman" w:eastAsia="仿宋" w:cs="Times New Roman"/>
          <w:bCs/>
          <w:color w:val="000000"/>
          <w:kern w:val="2"/>
          <w:sz w:val="32"/>
          <w:szCs w:val="32"/>
          <w:lang w:val="en-US" w:eastAsia="zh-CN" w:bidi="ar-SA"/>
        </w:rPr>
        <w:t>5、开展对接“一带一路”相关问题研究。开展优势产业产能转移及重大对外合作项目的调查研究</w:t>
      </w:r>
    </w:p>
    <w:p>
      <w:pPr>
        <w:spacing w:beforeLines="0" w:afterLines="0" w:line="560" w:lineRule="exact"/>
        <w:ind w:firstLine="640" w:firstLineChars="200"/>
        <w:rPr>
          <w:rFonts w:hint="default" w:ascii="Times New Roman" w:hAnsi="Times New Roman" w:eastAsia="仿宋_GB2312" w:cs="Times New Roman"/>
          <w:bCs/>
          <w:color w:val="000000"/>
          <w:sz w:val="32"/>
          <w:szCs w:val="32"/>
        </w:rPr>
      </w:pPr>
      <w:r>
        <w:rPr>
          <w:rFonts w:hint="eastAsia" w:ascii="Times New Roman" w:hAnsi="Times New Roman" w:eastAsia="仿宋" w:cs="Times New Roman"/>
          <w:bCs/>
          <w:color w:val="000000"/>
          <w:kern w:val="2"/>
          <w:sz w:val="32"/>
          <w:szCs w:val="32"/>
          <w:lang w:val="en-US" w:eastAsia="zh-CN" w:bidi="ar-SA"/>
        </w:rPr>
        <w:t>6、完成中国国际贸易促进委员会金华市委员会交办的其他任务。</w:t>
      </w:r>
      <w:bookmarkStart w:id="1" w:name="_GoBack"/>
      <w:bookmarkEnd w:id="1"/>
    </w:p>
    <w:p>
      <w:pPr>
        <w:spacing w:line="560" w:lineRule="exact"/>
        <w:ind w:firstLine="643" w:firstLineChars="200"/>
        <w:rPr>
          <w:rFonts w:ascii="Times New Roman" w:hAnsi="Times New Roman" w:eastAsia="仿宋" w:cs="Times New Roman"/>
          <w:b/>
          <w:color w:val="000000"/>
          <w:sz w:val="32"/>
          <w:szCs w:val="32"/>
        </w:rPr>
      </w:pPr>
      <w:r>
        <w:rPr>
          <w:rFonts w:ascii="Times New Roman" w:hAnsi="仿宋" w:eastAsia="仿宋" w:cs="Times New Roman"/>
          <w:b/>
          <w:color w:val="000000"/>
          <w:sz w:val="32"/>
          <w:szCs w:val="32"/>
        </w:rPr>
        <w:t>（二）单位机构设置情况</w:t>
      </w:r>
    </w:p>
    <w:p>
      <w:pPr>
        <w:spacing w:line="560" w:lineRule="exact"/>
        <w:ind w:firstLine="640" w:firstLineChars="200"/>
        <w:rPr>
          <w:rFonts w:ascii="Times New Roman" w:hAnsi="Times New Roman" w:eastAsia="仿宋" w:cs="Times New Roman"/>
          <w:bCs/>
          <w:color w:val="000000"/>
          <w:sz w:val="32"/>
          <w:szCs w:val="32"/>
        </w:rPr>
      </w:pPr>
      <w:r>
        <w:rPr>
          <w:rFonts w:hint="eastAsia" w:ascii="Times New Roman" w:hAnsi="仿宋" w:eastAsia="仿宋" w:cs="Times New Roman"/>
          <w:bCs/>
          <w:color w:val="000000"/>
          <w:sz w:val="32"/>
          <w:szCs w:val="32"/>
        </w:rPr>
        <w:t>金华市“一带一路”贸易投资促进中心</w:t>
      </w:r>
      <w:r>
        <w:rPr>
          <w:rFonts w:ascii="Times New Roman" w:hAnsi="仿宋" w:eastAsia="仿宋" w:cs="Times New Roman"/>
          <w:bCs/>
          <w:color w:val="000000"/>
          <w:sz w:val="32"/>
          <w:szCs w:val="32"/>
        </w:rPr>
        <w:t>从预算单位构成看，</w:t>
      </w:r>
      <w:r>
        <w:rPr>
          <w:rFonts w:hint="eastAsia" w:ascii="Times New Roman" w:hAnsi="仿宋" w:eastAsia="仿宋" w:cs="Times New Roman"/>
          <w:bCs/>
          <w:color w:val="000000"/>
          <w:sz w:val="32"/>
          <w:szCs w:val="32"/>
        </w:rPr>
        <w:t>本单位内设：投资促进科、市场拓展科。</w:t>
      </w:r>
      <w:r>
        <w:rPr>
          <w:rFonts w:ascii="Times New Roman" w:hAnsi="仿宋" w:eastAsia="仿宋" w:cs="Times New Roman"/>
          <w:bCs/>
          <w:color w:val="000000"/>
          <w:sz w:val="32"/>
          <w:szCs w:val="32"/>
        </w:rPr>
        <w:t>金华市</w:t>
      </w:r>
      <w:r>
        <w:rPr>
          <w:rFonts w:hint="eastAsia" w:ascii="Times New Roman" w:hAnsi="仿宋" w:eastAsia="仿宋" w:cs="Times New Roman"/>
          <w:bCs/>
          <w:color w:val="000000"/>
          <w:sz w:val="32"/>
          <w:szCs w:val="32"/>
        </w:rPr>
        <w:t>“</w:t>
      </w:r>
      <w:r>
        <w:rPr>
          <w:rFonts w:ascii="Times New Roman" w:hAnsi="仿宋" w:eastAsia="仿宋" w:cs="Times New Roman"/>
          <w:bCs/>
          <w:color w:val="000000"/>
          <w:sz w:val="32"/>
          <w:szCs w:val="32"/>
        </w:rPr>
        <w:t>一带一路</w:t>
      </w:r>
      <w:r>
        <w:rPr>
          <w:rFonts w:hint="eastAsia" w:ascii="Times New Roman" w:hAnsi="仿宋" w:eastAsia="仿宋" w:cs="Times New Roman"/>
          <w:bCs/>
          <w:color w:val="000000"/>
          <w:sz w:val="32"/>
          <w:szCs w:val="32"/>
        </w:rPr>
        <w:t>”</w:t>
      </w:r>
      <w:r>
        <w:rPr>
          <w:rFonts w:ascii="Times New Roman" w:hAnsi="仿宋" w:eastAsia="仿宋" w:cs="Times New Roman"/>
          <w:bCs/>
          <w:color w:val="000000"/>
          <w:sz w:val="32"/>
          <w:szCs w:val="32"/>
        </w:rPr>
        <w:t>贸易投资促进中心为中国国际贸易促进委员会浙江省金华市委员会所属的全额拨款公益一类事业单位</w:t>
      </w:r>
      <w:r>
        <w:rPr>
          <w:rFonts w:ascii="Times New Roman" w:hAnsi="Times New Roman" w:eastAsia="仿宋" w:cs="Times New Roman"/>
          <w:bCs/>
          <w:color w:val="000000"/>
          <w:sz w:val="32"/>
          <w:szCs w:val="32"/>
        </w:rPr>
        <w:t>,</w:t>
      </w:r>
      <w:r>
        <w:rPr>
          <w:rFonts w:ascii="Times New Roman" w:hAnsi="仿宋" w:eastAsia="仿宋" w:cs="Times New Roman"/>
          <w:bCs/>
          <w:color w:val="000000"/>
          <w:sz w:val="32"/>
          <w:szCs w:val="32"/>
        </w:rPr>
        <w:t>核定编制</w:t>
      </w:r>
      <w:r>
        <w:rPr>
          <w:rFonts w:ascii="Times New Roman" w:hAnsi="Times New Roman" w:eastAsia="仿宋" w:cs="Times New Roman"/>
          <w:bCs/>
          <w:color w:val="000000"/>
          <w:sz w:val="32"/>
          <w:szCs w:val="32"/>
        </w:rPr>
        <w:t>5</w:t>
      </w:r>
      <w:r>
        <w:rPr>
          <w:rFonts w:ascii="Times New Roman" w:hAnsi="仿宋" w:eastAsia="仿宋" w:cs="Times New Roman"/>
          <w:bCs/>
          <w:color w:val="000000"/>
          <w:sz w:val="32"/>
          <w:szCs w:val="32"/>
        </w:rPr>
        <w:t>名</w:t>
      </w:r>
      <w:r>
        <w:rPr>
          <w:rFonts w:ascii="Times New Roman" w:hAnsi="Times New Roman" w:eastAsia="仿宋" w:cs="Times New Roman"/>
          <w:bCs/>
          <w:color w:val="000000"/>
          <w:sz w:val="32"/>
          <w:szCs w:val="32"/>
        </w:rPr>
        <w:t>,</w:t>
      </w:r>
      <w:r>
        <w:rPr>
          <w:rFonts w:ascii="Times New Roman" w:hAnsi="仿宋" w:eastAsia="仿宋" w:cs="Times New Roman"/>
          <w:bCs/>
          <w:color w:val="000000"/>
          <w:sz w:val="32"/>
          <w:szCs w:val="32"/>
        </w:rPr>
        <w:t>现与主管部门市贸促会合署办公。</w:t>
      </w:r>
    </w:p>
    <w:p>
      <w:pPr>
        <w:spacing w:line="560" w:lineRule="exact"/>
        <w:ind w:firstLine="645"/>
        <w:rPr>
          <w:rFonts w:ascii="Times New Roman" w:hAnsi="Times New Roman" w:eastAsia="仿宋" w:cs="Times New Roman"/>
          <w:color w:val="000000"/>
          <w:sz w:val="32"/>
          <w:szCs w:val="32"/>
        </w:rPr>
      </w:pPr>
      <w:r>
        <w:rPr>
          <w:rStyle w:val="8"/>
          <w:rFonts w:ascii="Times New Roman" w:hAnsi="仿宋" w:eastAsia="仿宋" w:cs="Times New Roman"/>
          <w:color w:val="000000"/>
        </w:rPr>
        <w:t>二、金华市 “一带一路”贸易投资促进中心</w:t>
      </w:r>
      <w:r>
        <w:rPr>
          <w:rStyle w:val="8"/>
          <w:rFonts w:ascii="Times New Roman" w:hAnsi="Times New Roman" w:eastAsia="仿宋" w:cs="Times New Roman"/>
          <w:color w:val="000000"/>
        </w:rPr>
        <w:t>2021</w:t>
      </w:r>
      <w:r>
        <w:rPr>
          <w:rStyle w:val="8"/>
          <w:rFonts w:ascii="Times New Roman" w:hAnsi="仿宋" w:eastAsia="仿宋" w:cs="Times New Roman"/>
          <w:color w:val="000000"/>
        </w:rPr>
        <w:t>年单位预算安排情况说明</w:t>
      </w:r>
    </w:p>
    <w:p>
      <w:pPr>
        <w:spacing w:line="560" w:lineRule="exact"/>
        <w:ind w:firstLine="643" w:firstLineChars="200"/>
        <w:rPr>
          <w:rFonts w:ascii="楷体" w:hAnsi="楷体" w:eastAsia="楷体" w:cs="Times New Roman"/>
          <w:b/>
          <w:bCs/>
          <w:color w:val="000000"/>
          <w:sz w:val="32"/>
          <w:szCs w:val="32"/>
        </w:rPr>
      </w:pPr>
      <w:r>
        <w:rPr>
          <w:rFonts w:ascii="楷体" w:hAnsi="楷体" w:eastAsia="楷体" w:cs="Times New Roman"/>
          <w:b/>
          <w:color w:val="000000"/>
          <w:sz w:val="32"/>
          <w:szCs w:val="32"/>
        </w:rPr>
        <w:t>（一）关于金华市</w:t>
      </w:r>
      <w:r>
        <w:rPr>
          <w:rFonts w:hint="eastAsia" w:ascii="楷体" w:hAnsi="楷体" w:eastAsia="楷体" w:cs="Times New Roman"/>
          <w:b/>
          <w:color w:val="000000"/>
          <w:sz w:val="32"/>
          <w:szCs w:val="32"/>
        </w:rPr>
        <w:t>“</w:t>
      </w:r>
      <w:r>
        <w:rPr>
          <w:rFonts w:ascii="楷体" w:hAnsi="楷体" w:eastAsia="楷体" w:cs="Times New Roman"/>
          <w:b/>
          <w:color w:val="000000"/>
          <w:sz w:val="32"/>
          <w:szCs w:val="32"/>
        </w:rPr>
        <w:t>一带一路</w:t>
      </w:r>
      <w:r>
        <w:rPr>
          <w:rFonts w:hint="eastAsia" w:ascii="楷体" w:hAnsi="楷体" w:eastAsia="楷体" w:cs="Times New Roman"/>
          <w:b/>
          <w:color w:val="000000"/>
          <w:sz w:val="32"/>
          <w:szCs w:val="32"/>
        </w:rPr>
        <w:t>”</w:t>
      </w:r>
      <w:r>
        <w:rPr>
          <w:rFonts w:ascii="楷体" w:hAnsi="楷体" w:eastAsia="楷体" w:cs="Times New Roman"/>
          <w:b/>
          <w:color w:val="000000"/>
          <w:sz w:val="32"/>
          <w:szCs w:val="32"/>
        </w:rPr>
        <w:t>贸易投资促进中心</w:t>
      </w:r>
      <w:r>
        <w:rPr>
          <w:rFonts w:ascii="楷体" w:hAnsi="楷体" w:eastAsia="楷体" w:cs="Times New Roman"/>
          <w:b/>
          <w:bCs/>
          <w:color w:val="000000"/>
          <w:sz w:val="32"/>
          <w:szCs w:val="32"/>
        </w:rPr>
        <w:t>2021年收支预算情况的总体说明</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仿宋" w:eastAsia="仿宋" w:cs="Times New Roman"/>
          <w:bCs/>
          <w:color w:val="000000"/>
          <w:sz w:val="32"/>
          <w:szCs w:val="32"/>
        </w:rPr>
        <w:t>按照综合预算的原则，金华市</w:t>
      </w:r>
      <w:r>
        <w:rPr>
          <w:rFonts w:hint="eastAsia" w:ascii="Times New Roman" w:hAnsi="仿宋" w:eastAsia="仿宋" w:cs="Times New Roman"/>
          <w:bCs/>
          <w:color w:val="000000"/>
          <w:sz w:val="32"/>
          <w:szCs w:val="32"/>
        </w:rPr>
        <w:t>“</w:t>
      </w:r>
      <w:r>
        <w:rPr>
          <w:rFonts w:ascii="Times New Roman" w:hAnsi="仿宋" w:eastAsia="仿宋" w:cs="Times New Roman"/>
          <w:bCs/>
          <w:color w:val="000000"/>
          <w:sz w:val="32"/>
          <w:szCs w:val="32"/>
        </w:rPr>
        <w:t>一带一路</w:t>
      </w:r>
      <w:r>
        <w:rPr>
          <w:rFonts w:hint="eastAsia" w:ascii="Times New Roman" w:hAnsi="仿宋" w:eastAsia="仿宋" w:cs="Times New Roman"/>
          <w:bCs/>
          <w:color w:val="000000"/>
          <w:sz w:val="32"/>
          <w:szCs w:val="32"/>
        </w:rPr>
        <w:t>”</w:t>
      </w:r>
      <w:r>
        <w:rPr>
          <w:rFonts w:ascii="Times New Roman" w:hAnsi="仿宋" w:eastAsia="仿宋" w:cs="Times New Roman"/>
          <w:bCs/>
          <w:color w:val="000000"/>
          <w:sz w:val="32"/>
          <w:szCs w:val="32"/>
        </w:rPr>
        <w:t>贸易投资促进中心所有收入和支出均纳入单位预算管理。收入包括：一般公共预算拨款收入</w:t>
      </w:r>
      <w:r>
        <w:rPr>
          <w:rFonts w:hint="eastAsia" w:ascii="Times New Roman" w:hAnsi="仿宋" w:eastAsia="仿宋" w:cs="Times New Roman"/>
          <w:bCs/>
          <w:color w:val="000000"/>
          <w:sz w:val="32"/>
          <w:szCs w:val="32"/>
        </w:rPr>
        <w:t>、</w:t>
      </w:r>
      <w:r>
        <w:rPr>
          <w:rFonts w:hint="eastAsia" w:ascii="Times New Roman" w:hAnsi="Times New Roman" w:eastAsia="仿宋" w:cs="Times New Roman"/>
          <w:bCs/>
          <w:color w:val="000000" w:themeColor="text1"/>
          <w:sz w:val="32"/>
          <w:szCs w:val="32"/>
        </w:rPr>
        <w:t>政府性基金收入0万元；占0%</w:t>
      </w:r>
      <w:r>
        <w:rPr>
          <w:rFonts w:ascii="Times New Roman" w:hAnsi="仿宋" w:eastAsia="仿宋" w:cs="Times New Roman"/>
          <w:bCs/>
          <w:color w:val="000000"/>
          <w:sz w:val="32"/>
          <w:szCs w:val="32"/>
        </w:rPr>
        <w:t>；支出包括：一般公共服务支出、教育支出、社会保障和就业支出、卫生健康支出、住房保障支出。金华市</w:t>
      </w:r>
      <w:r>
        <w:rPr>
          <w:rFonts w:hint="eastAsia" w:ascii="Times New Roman" w:hAnsi="仿宋" w:eastAsia="仿宋" w:cs="Times New Roman"/>
          <w:bCs/>
          <w:color w:val="000000"/>
          <w:sz w:val="32"/>
          <w:szCs w:val="32"/>
        </w:rPr>
        <w:t>“</w:t>
      </w:r>
      <w:r>
        <w:rPr>
          <w:rFonts w:ascii="Times New Roman" w:hAnsi="仿宋" w:eastAsia="仿宋" w:cs="Times New Roman"/>
          <w:bCs/>
          <w:color w:val="000000"/>
          <w:sz w:val="32"/>
          <w:szCs w:val="32"/>
        </w:rPr>
        <w:t>一带一路</w:t>
      </w:r>
      <w:r>
        <w:rPr>
          <w:rFonts w:hint="eastAsia" w:ascii="Times New Roman" w:hAnsi="仿宋" w:eastAsia="仿宋" w:cs="Times New Roman"/>
          <w:bCs/>
          <w:color w:val="000000"/>
          <w:sz w:val="32"/>
          <w:szCs w:val="32"/>
        </w:rPr>
        <w:t>”</w:t>
      </w:r>
      <w:r>
        <w:rPr>
          <w:rFonts w:ascii="Times New Roman" w:hAnsi="仿宋" w:eastAsia="仿宋" w:cs="Times New Roman"/>
          <w:bCs/>
          <w:color w:val="000000"/>
          <w:sz w:val="32"/>
          <w:szCs w:val="32"/>
        </w:rPr>
        <w:t>贸易投资促进中心</w:t>
      </w:r>
      <w:r>
        <w:rPr>
          <w:rFonts w:ascii="Times New Roman" w:hAnsi="Times New Roman" w:eastAsia="仿宋" w:cs="Times New Roman"/>
          <w:bCs/>
          <w:color w:val="000000"/>
          <w:sz w:val="32"/>
          <w:szCs w:val="32"/>
        </w:rPr>
        <w:t>2021</w:t>
      </w:r>
      <w:r>
        <w:rPr>
          <w:rFonts w:ascii="Times New Roman" w:hAnsi="仿宋" w:eastAsia="仿宋" w:cs="Times New Roman"/>
          <w:bCs/>
          <w:color w:val="000000"/>
          <w:sz w:val="32"/>
          <w:szCs w:val="32"/>
        </w:rPr>
        <w:t>年收支总预算</w:t>
      </w:r>
      <w:r>
        <w:rPr>
          <w:rFonts w:ascii="Times New Roman" w:hAnsi="Times New Roman" w:eastAsia="仿宋" w:cs="Times New Roman"/>
          <w:bCs/>
          <w:color w:val="000000"/>
          <w:sz w:val="32"/>
          <w:szCs w:val="32"/>
        </w:rPr>
        <w:t>154.36</w:t>
      </w:r>
      <w:r>
        <w:rPr>
          <w:rFonts w:ascii="Times New Roman" w:hAnsi="仿宋" w:eastAsia="仿宋" w:cs="Times New Roman"/>
          <w:bCs/>
          <w:color w:val="000000"/>
          <w:sz w:val="32"/>
          <w:szCs w:val="32"/>
        </w:rPr>
        <w:t>万元。</w:t>
      </w:r>
    </w:p>
    <w:p>
      <w:pPr>
        <w:spacing w:line="560" w:lineRule="exact"/>
        <w:ind w:firstLine="643" w:firstLineChars="200"/>
        <w:rPr>
          <w:rFonts w:ascii="楷体" w:hAnsi="楷体" w:eastAsia="楷体" w:cs="Times New Roman"/>
          <w:b/>
          <w:color w:val="000000"/>
          <w:sz w:val="32"/>
          <w:szCs w:val="32"/>
        </w:rPr>
      </w:pPr>
      <w:r>
        <w:rPr>
          <w:rFonts w:ascii="楷体" w:hAnsi="楷体" w:eastAsia="楷体" w:cs="Times New Roman"/>
          <w:b/>
          <w:color w:val="000000"/>
          <w:sz w:val="32"/>
          <w:szCs w:val="32"/>
        </w:rPr>
        <w:t>（二）关于金华市</w:t>
      </w:r>
      <w:r>
        <w:rPr>
          <w:rFonts w:hint="eastAsia" w:ascii="楷体" w:hAnsi="楷体" w:eastAsia="楷体" w:cs="Times New Roman"/>
          <w:b/>
          <w:color w:val="000000"/>
          <w:sz w:val="32"/>
          <w:szCs w:val="32"/>
        </w:rPr>
        <w:t xml:space="preserve"> “</w:t>
      </w:r>
      <w:r>
        <w:rPr>
          <w:rFonts w:ascii="楷体" w:hAnsi="楷体" w:eastAsia="楷体" w:cs="Times New Roman"/>
          <w:b/>
          <w:color w:val="000000"/>
          <w:sz w:val="32"/>
          <w:szCs w:val="32"/>
        </w:rPr>
        <w:t>一带一路</w:t>
      </w:r>
      <w:r>
        <w:rPr>
          <w:rFonts w:hint="eastAsia" w:ascii="楷体" w:hAnsi="楷体" w:eastAsia="楷体" w:cs="Times New Roman"/>
          <w:b/>
          <w:color w:val="000000"/>
          <w:sz w:val="32"/>
          <w:szCs w:val="32"/>
        </w:rPr>
        <w:t>”</w:t>
      </w:r>
      <w:r>
        <w:rPr>
          <w:rFonts w:ascii="楷体" w:hAnsi="楷体" w:eastAsia="楷体" w:cs="Times New Roman"/>
          <w:b/>
          <w:color w:val="000000"/>
          <w:sz w:val="32"/>
          <w:szCs w:val="32"/>
        </w:rPr>
        <w:t>贸易投资促进中心</w:t>
      </w:r>
      <w:r>
        <w:rPr>
          <w:rFonts w:ascii="楷体" w:hAnsi="楷体" w:eastAsia="楷体" w:cs="Times New Roman"/>
          <w:b/>
          <w:bCs/>
          <w:color w:val="000000"/>
          <w:sz w:val="32"/>
          <w:szCs w:val="32"/>
        </w:rPr>
        <w:t>2021年</w:t>
      </w:r>
      <w:r>
        <w:rPr>
          <w:rFonts w:ascii="楷体" w:hAnsi="楷体" w:eastAsia="楷体" w:cs="Times New Roman"/>
          <w:b/>
          <w:color w:val="000000"/>
          <w:sz w:val="32"/>
          <w:szCs w:val="32"/>
        </w:rPr>
        <w:t>收入预算情况说明</w:t>
      </w:r>
    </w:p>
    <w:p>
      <w:pPr>
        <w:spacing w:line="560" w:lineRule="exact"/>
        <w:ind w:firstLine="640" w:firstLineChars="200"/>
        <w:rPr>
          <w:rFonts w:ascii="Times New Roman" w:hAnsi="Times New Roman" w:eastAsia="仿宋" w:cs="Times New Roman"/>
          <w:bCs/>
          <w:color w:val="FF0000"/>
          <w:sz w:val="32"/>
          <w:szCs w:val="32"/>
        </w:rPr>
      </w:pPr>
      <w:r>
        <w:rPr>
          <w:rFonts w:ascii="Times New Roman" w:hAnsi="仿宋" w:eastAsia="仿宋" w:cs="Times New Roman"/>
          <w:bCs/>
          <w:color w:val="000000"/>
          <w:sz w:val="32"/>
          <w:szCs w:val="32"/>
        </w:rPr>
        <w:t>金华市</w:t>
      </w:r>
      <w:r>
        <w:rPr>
          <w:rFonts w:hint="eastAsia" w:ascii="Times New Roman" w:hAnsi="仿宋" w:eastAsia="仿宋" w:cs="Times New Roman"/>
          <w:bCs/>
          <w:color w:val="000000"/>
          <w:sz w:val="32"/>
          <w:szCs w:val="32"/>
        </w:rPr>
        <w:t>“</w:t>
      </w:r>
      <w:r>
        <w:rPr>
          <w:rFonts w:ascii="Times New Roman" w:hAnsi="仿宋" w:eastAsia="仿宋" w:cs="Times New Roman"/>
          <w:bCs/>
          <w:color w:val="000000"/>
          <w:sz w:val="32"/>
          <w:szCs w:val="32"/>
        </w:rPr>
        <w:t>一带一路</w:t>
      </w:r>
      <w:r>
        <w:rPr>
          <w:rFonts w:hint="eastAsia" w:ascii="Times New Roman" w:hAnsi="仿宋" w:eastAsia="仿宋" w:cs="Times New Roman"/>
          <w:bCs/>
          <w:color w:val="000000"/>
          <w:sz w:val="32"/>
          <w:szCs w:val="32"/>
        </w:rPr>
        <w:t>”</w:t>
      </w:r>
      <w:r>
        <w:rPr>
          <w:rFonts w:ascii="Times New Roman" w:hAnsi="仿宋" w:eastAsia="仿宋" w:cs="Times New Roman"/>
          <w:bCs/>
          <w:color w:val="000000"/>
          <w:sz w:val="32"/>
          <w:szCs w:val="32"/>
        </w:rPr>
        <w:t>贸易投资促进中心</w:t>
      </w:r>
      <w:r>
        <w:rPr>
          <w:rFonts w:ascii="Times New Roman" w:hAnsi="Times New Roman" w:eastAsia="仿宋" w:cs="Times New Roman"/>
          <w:bCs/>
          <w:color w:val="000000"/>
          <w:sz w:val="32"/>
          <w:szCs w:val="32"/>
        </w:rPr>
        <w:t>2021</w:t>
      </w:r>
      <w:r>
        <w:rPr>
          <w:rFonts w:ascii="Times New Roman" w:hAnsi="仿宋" w:eastAsia="仿宋" w:cs="Times New Roman"/>
          <w:bCs/>
          <w:color w:val="000000"/>
          <w:sz w:val="32"/>
          <w:szCs w:val="32"/>
        </w:rPr>
        <w:t>年收入预算</w:t>
      </w:r>
      <w:r>
        <w:rPr>
          <w:rFonts w:ascii="Times New Roman" w:hAnsi="Times New Roman" w:eastAsia="仿宋" w:cs="Times New Roman"/>
          <w:bCs/>
          <w:color w:val="000000"/>
          <w:sz w:val="32"/>
          <w:szCs w:val="32"/>
        </w:rPr>
        <w:t>154.36</w:t>
      </w:r>
      <w:r>
        <w:rPr>
          <w:rFonts w:ascii="Times New Roman" w:hAnsi="仿宋" w:eastAsia="仿宋" w:cs="Times New Roman"/>
          <w:bCs/>
          <w:color w:val="000000"/>
          <w:sz w:val="32"/>
          <w:szCs w:val="32"/>
        </w:rPr>
        <w:t>万元，其中：上年结转</w:t>
      </w:r>
      <w:r>
        <w:rPr>
          <w:rFonts w:ascii="Times New Roman" w:hAnsi="Times New Roman" w:eastAsia="仿宋" w:cs="Times New Roman"/>
          <w:bCs/>
          <w:color w:val="000000"/>
          <w:sz w:val="32"/>
          <w:szCs w:val="32"/>
        </w:rPr>
        <w:t>0</w:t>
      </w:r>
      <w:r>
        <w:rPr>
          <w:rFonts w:ascii="Times New Roman" w:hAnsi="仿宋" w:eastAsia="仿宋" w:cs="Times New Roman"/>
          <w:bCs/>
          <w:color w:val="000000"/>
          <w:sz w:val="32"/>
          <w:szCs w:val="32"/>
        </w:rPr>
        <w:t>万元，占</w:t>
      </w:r>
      <w:r>
        <w:rPr>
          <w:rFonts w:ascii="Times New Roman" w:hAnsi="Times New Roman" w:eastAsia="仿宋" w:cs="Times New Roman"/>
          <w:bCs/>
          <w:color w:val="000000"/>
          <w:sz w:val="32"/>
          <w:szCs w:val="32"/>
        </w:rPr>
        <w:t>0%;</w:t>
      </w:r>
      <w:r>
        <w:rPr>
          <w:rFonts w:ascii="Times New Roman" w:hAnsi="仿宋" w:eastAsia="仿宋" w:cs="Times New Roman"/>
          <w:bCs/>
          <w:color w:val="000000"/>
          <w:sz w:val="32"/>
          <w:szCs w:val="32"/>
        </w:rPr>
        <w:t>一般公共预算拨款收入</w:t>
      </w:r>
      <w:r>
        <w:rPr>
          <w:rFonts w:ascii="Times New Roman" w:hAnsi="Times New Roman" w:eastAsia="仿宋" w:cs="Times New Roman"/>
          <w:bCs/>
          <w:color w:val="000000"/>
          <w:sz w:val="32"/>
          <w:szCs w:val="32"/>
        </w:rPr>
        <w:t>154.36</w:t>
      </w:r>
      <w:r>
        <w:rPr>
          <w:rFonts w:ascii="Times New Roman" w:hAnsi="仿宋" w:eastAsia="仿宋" w:cs="Times New Roman"/>
          <w:bCs/>
          <w:color w:val="000000"/>
          <w:sz w:val="32"/>
          <w:szCs w:val="32"/>
        </w:rPr>
        <w:t>万元，占</w:t>
      </w:r>
      <w:r>
        <w:rPr>
          <w:rFonts w:ascii="Times New Roman" w:hAnsi="Times New Roman" w:eastAsia="仿宋" w:cs="Times New Roman"/>
          <w:bCs/>
          <w:color w:val="000000"/>
          <w:sz w:val="32"/>
          <w:szCs w:val="32"/>
        </w:rPr>
        <w:t>100%</w:t>
      </w:r>
      <w:r>
        <w:rPr>
          <w:rFonts w:ascii="Times New Roman" w:hAnsi="仿宋" w:eastAsia="仿宋" w:cs="Times New Roman"/>
          <w:bCs/>
          <w:color w:val="000000"/>
          <w:sz w:val="32"/>
          <w:szCs w:val="32"/>
        </w:rPr>
        <w:t>；财政专户管理的资金</w:t>
      </w:r>
      <w:r>
        <w:rPr>
          <w:rFonts w:ascii="Times New Roman" w:hAnsi="Times New Roman" w:eastAsia="仿宋" w:cs="Times New Roman"/>
          <w:bCs/>
          <w:color w:val="000000"/>
          <w:sz w:val="32"/>
          <w:szCs w:val="32"/>
        </w:rPr>
        <w:t>0</w:t>
      </w:r>
      <w:r>
        <w:rPr>
          <w:rFonts w:ascii="Times New Roman" w:hAnsi="仿宋" w:eastAsia="仿宋" w:cs="Times New Roman"/>
          <w:bCs/>
          <w:color w:val="000000"/>
          <w:sz w:val="32"/>
          <w:szCs w:val="32"/>
        </w:rPr>
        <w:t>万元，占</w:t>
      </w:r>
      <w:r>
        <w:rPr>
          <w:rFonts w:ascii="Times New Roman" w:hAnsi="Times New Roman" w:eastAsia="仿宋" w:cs="Times New Roman"/>
          <w:bCs/>
          <w:color w:val="000000"/>
          <w:sz w:val="32"/>
          <w:szCs w:val="32"/>
        </w:rPr>
        <w:t>0%</w:t>
      </w:r>
      <w:r>
        <w:rPr>
          <w:rFonts w:hint="eastAsia" w:ascii="Times New Roman" w:hAnsi="Times New Roman" w:eastAsia="仿宋" w:cs="Times New Roman"/>
          <w:bCs/>
          <w:color w:val="000000"/>
          <w:sz w:val="32"/>
          <w:szCs w:val="32"/>
        </w:rPr>
        <w:t>；</w:t>
      </w:r>
      <w:r>
        <w:rPr>
          <w:rFonts w:hint="eastAsia" w:ascii="Times New Roman" w:hAnsi="Times New Roman" w:eastAsia="仿宋" w:cs="Times New Roman"/>
          <w:bCs/>
          <w:color w:val="000000" w:themeColor="text1"/>
          <w:sz w:val="32"/>
          <w:szCs w:val="32"/>
        </w:rPr>
        <w:t>政府性基金收入0万元；占0%。</w:t>
      </w:r>
    </w:p>
    <w:p>
      <w:pPr>
        <w:spacing w:line="560" w:lineRule="exact"/>
        <w:ind w:firstLine="643" w:firstLineChars="200"/>
        <w:rPr>
          <w:rFonts w:ascii="楷体" w:hAnsi="楷体" w:eastAsia="楷体" w:cs="Times New Roman"/>
          <w:b/>
          <w:color w:val="000000"/>
          <w:sz w:val="32"/>
          <w:szCs w:val="32"/>
        </w:rPr>
      </w:pPr>
      <w:r>
        <w:rPr>
          <w:rFonts w:ascii="楷体" w:hAnsi="楷体" w:eastAsia="楷体" w:cs="Times New Roman"/>
          <w:b/>
          <w:color w:val="000000"/>
          <w:sz w:val="32"/>
          <w:szCs w:val="32"/>
        </w:rPr>
        <w:t>（三）关于金华市</w:t>
      </w:r>
      <w:r>
        <w:rPr>
          <w:rFonts w:hint="eastAsia" w:ascii="楷体" w:hAnsi="楷体" w:eastAsia="楷体" w:cs="Times New Roman"/>
          <w:b/>
          <w:color w:val="000000"/>
          <w:sz w:val="32"/>
          <w:szCs w:val="32"/>
        </w:rPr>
        <w:t>“</w:t>
      </w:r>
      <w:r>
        <w:rPr>
          <w:rFonts w:ascii="楷体" w:hAnsi="楷体" w:eastAsia="楷体" w:cs="Times New Roman"/>
          <w:b/>
          <w:color w:val="000000"/>
          <w:sz w:val="32"/>
          <w:szCs w:val="32"/>
        </w:rPr>
        <w:t>一带一路</w:t>
      </w:r>
      <w:r>
        <w:rPr>
          <w:rFonts w:hint="eastAsia" w:ascii="楷体" w:hAnsi="楷体" w:eastAsia="楷体" w:cs="Times New Roman"/>
          <w:b/>
          <w:color w:val="000000"/>
          <w:sz w:val="32"/>
          <w:szCs w:val="32"/>
        </w:rPr>
        <w:t>”</w:t>
      </w:r>
      <w:r>
        <w:rPr>
          <w:rFonts w:ascii="楷体" w:hAnsi="楷体" w:eastAsia="楷体" w:cs="Times New Roman"/>
          <w:b/>
          <w:color w:val="000000"/>
          <w:sz w:val="32"/>
          <w:szCs w:val="32"/>
        </w:rPr>
        <w:t>贸易投资促进中心</w:t>
      </w:r>
      <w:r>
        <w:rPr>
          <w:rFonts w:ascii="楷体" w:hAnsi="楷体" w:eastAsia="楷体" w:cs="Times New Roman"/>
          <w:b/>
          <w:bCs/>
          <w:color w:val="000000"/>
          <w:sz w:val="32"/>
          <w:szCs w:val="32"/>
        </w:rPr>
        <w:t>2021年</w:t>
      </w:r>
      <w:r>
        <w:rPr>
          <w:rFonts w:ascii="楷体" w:hAnsi="楷体" w:eastAsia="楷体" w:cs="Times New Roman"/>
          <w:b/>
          <w:color w:val="000000"/>
          <w:sz w:val="32"/>
          <w:szCs w:val="32"/>
        </w:rPr>
        <w:t>支出预算情况说明</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仿宋" w:eastAsia="仿宋" w:cs="Times New Roman"/>
          <w:color w:val="000000"/>
          <w:sz w:val="32"/>
          <w:szCs w:val="32"/>
        </w:rPr>
        <w:t>金华市</w:t>
      </w:r>
      <w:r>
        <w:rPr>
          <w:rFonts w:hint="eastAsia" w:ascii="Times New Roman" w:hAnsi="仿宋" w:eastAsia="仿宋" w:cs="Times New Roman"/>
          <w:color w:val="000000"/>
          <w:sz w:val="32"/>
          <w:szCs w:val="32"/>
        </w:rPr>
        <w:t>“</w:t>
      </w:r>
      <w:r>
        <w:rPr>
          <w:rFonts w:ascii="Times New Roman" w:hAnsi="仿宋" w:eastAsia="仿宋" w:cs="Times New Roman"/>
          <w:color w:val="000000"/>
          <w:sz w:val="32"/>
          <w:szCs w:val="32"/>
        </w:rPr>
        <w:t>一带一路</w:t>
      </w:r>
      <w:r>
        <w:rPr>
          <w:rFonts w:hint="eastAsia" w:ascii="Times New Roman" w:hAnsi="仿宋" w:eastAsia="仿宋" w:cs="Times New Roman"/>
          <w:color w:val="000000"/>
          <w:sz w:val="32"/>
          <w:szCs w:val="32"/>
        </w:rPr>
        <w:t>”</w:t>
      </w:r>
      <w:r>
        <w:rPr>
          <w:rFonts w:ascii="Times New Roman" w:hAnsi="仿宋" w:eastAsia="仿宋" w:cs="Times New Roman"/>
          <w:color w:val="000000"/>
          <w:sz w:val="32"/>
          <w:szCs w:val="32"/>
        </w:rPr>
        <w:t>贸易投资促进中心</w:t>
      </w:r>
      <w:r>
        <w:rPr>
          <w:rFonts w:ascii="Times New Roman" w:hAnsi="Times New Roman" w:eastAsia="仿宋" w:cs="Times New Roman"/>
          <w:bCs/>
          <w:color w:val="000000"/>
          <w:sz w:val="32"/>
          <w:szCs w:val="32"/>
        </w:rPr>
        <w:t>2021</w:t>
      </w:r>
      <w:r>
        <w:rPr>
          <w:rFonts w:ascii="Times New Roman" w:hAnsi="仿宋" w:eastAsia="仿宋" w:cs="Times New Roman"/>
          <w:bCs/>
          <w:color w:val="000000"/>
          <w:sz w:val="32"/>
          <w:szCs w:val="32"/>
        </w:rPr>
        <w:t>年支出预算</w:t>
      </w:r>
      <w:r>
        <w:rPr>
          <w:rFonts w:ascii="Times New Roman" w:hAnsi="Times New Roman" w:eastAsia="仿宋" w:cs="Times New Roman"/>
          <w:bCs/>
          <w:color w:val="000000"/>
          <w:sz w:val="32"/>
          <w:szCs w:val="32"/>
        </w:rPr>
        <w:t>154.36</w:t>
      </w:r>
      <w:r>
        <w:rPr>
          <w:rFonts w:ascii="Times New Roman" w:hAnsi="仿宋" w:eastAsia="仿宋" w:cs="Times New Roman"/>
          <w:bCs/>
          <w:color w:val="000000"/>
          <w:sz w:val="32"/>
          <w:szCs w:val="32"/>
        </w:rPr>
        <w:t>万元。</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Times New Roman" w:eastAsia="仿宋" w:cs="Times New Roman"/>
          <w:bCs/>
          <w:color w:val="000000"/>
          <w:sz w:val="32"/>
          <w:szCs w:val="32"/>
        </w:rPr>
        <w:t>1.</w:t>
      </w:r>
      <w:r>
        <w:rPr>
          <w:rFonts w:ascii="Times New Roman" w:hAnsi="仿宋" w:eastAsia="仿宋" w:cs="Times New Roman"/>
          <w:bCs/>
          <w:color w:val="000000"/>
          <w:sz w:val="32"/>
          <w:szCs w:val="32"/>
        </w:rPr>
        <w:t>按支出功能分类，包括一般公共服务支出</w:t>
      </w:r>
      <w:r>
        <w:rPr>
          <w:rFonts w:ascii="Times New Roman" w:hAnsi="Times New Roman" w:eastAsia="仿宋" w:cs="Times New Roman"/>
          <w:bCs/>
          <w:color w:val="000000"/>
          <w:sz w:val="32"/>
          <w:szCs w:val="32"/>
        </w:rPr>
        <w:t>128.49</w:t>
      </w:r>
      <w:r>
        <w:rPr>
          <w:rFonts w:ascii="Times New Roman" w:hAnsi="仿宋" w:eastAsia="仿宋" w:cs="Times New Roman"/>
          <w:bCs/>
          <w:color w:val="000000"/>
          <w:sz w:val="32"/>
          <w:szCs w:val="32"/>
        </w:rPr>
        <w:t>万元、教育支出</w:t>
      </w:r>
      <w:r>
        <w:rPr>
          <w:rFonts w:ascii="Times New Roman" w:hAnsi="Times New Roman" w:eastAsia="仿宋" w:cs="Times New Roman"/>
          <w:bCs/>
          <w:color w:val="000000"/>
          <w:sz w:val="32"/>
          <w:szCs w:val="32"/>
        </w:rPr>
        <w:t>1.01</w:t>
      </w:r>
      <w:r>
        <w:rPr>
          <w:rFonts w:ascii="Times New Roman" w:hAnsi="仿宋" w:eastAsia="仿宋" w:cs="Times New Roman"/>
          <w:bCs/>
          <w:color w:val="000000"/>
          <w:sz w:val="32"/>
          <w:szCs w:val="32"/>
        </w:rPr>
        <w:t>万元、社会保障和就业支出</w:t>
      </w:r>
      <w:r>
        <w:rPr>
          <w:rFonts w:ascii="Times New Roman" w:hAnsi="Times New Roman" w:eastAsia="仿宋" w:cs="Times New Roman"/>
          <w:bCs/>
          <w:color w:val="000000"/>
          <w:sz w:val="32"/>
          <w:szCs w:val="32"/>
        </w:rPr>
        <w:t>9.05</w:t>
      </w:r>
      <w:r>
        <w:rPr>
          <w:rFonts w:ascii="Times New Roman" w:hAnsi="仿宋" w:eastAsia="仿宋" w:cs="Times New Roman"/>
          <w:bCs/>
          <w:color w:val="000000"/>
          <w:sz w:val="32"/>
          <w:szCs w:val="32"/>
        </w:rPr>
        <w:t>万元、卫生健康支出</w:t>
      </w:r>
      <w:r>
        <w:rPr>
          <w:rFonts w:ascii="Times New Roman" w:hAnsi="Times New Roman" w:eastAsia="仿宋" w:cs="Times New Roman"/>
          <w:bCs/>
          <w:color w:val="000000"/>
          <w:sz w:val="32"/>
          <w:szCs w:val="32"/>
        </w:rPr>
        <w:t>3.58</w:t>
      </w:r>
      <w:r>
        <w:rPr>
          <w:rFonts w:ascii="Times New Roman" w:hAnsi="仿宋" w:eastAsia="仿宋" w:cs="Times New Roman"/>
          <w:bCs/>
          <w:color w:val="000000"/>
          <w:sz w:val="32"/>
          <w:szCs w:val="32"/>
        </w:rPr>
        <w:t>万元、住房保障支出</w:t>
      </w:r>
      <w:r>
        <w:rPr>
          <w:rFonts w:ascii="Times New Roman" w:hAnsi="Times New Roman" w:eastAsia="仿宋" w:cs="Times New Roman"/>
          <w:bCs/>
          <w:color w:val="000000"/>
          <w:sz w:val="32"/>
          <w:szCs w:val="32"/>
        </w:rPr>
        <w:t>12.23</w:t>
      </w:r>
      <w:r>
        <w:rPr>
          <w:rFonts w:ascii="Times New Roman" w:hAnsi="仿宋" w:eastAsia="仿宋" w:cs="Times New Roman"/>
          <w:bCs/>
          <w:color w:val="000000"/>
          <w:sz w:val="32"/>
          <w:szCs w:val="32"/>
        </w:rPr>
        <w:t>万元。</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Times New Roman" w:eastAsia="仿宋" w:cs="Times New Roman"/>
          <w:bCs/>
          <w:color w:val="000000"/>
          <w:sz w:val="32"/>
          <w:szCs w:val="32"/>
        </w:rPr>
        <w:t>2.</w:t>
      </w:r>
      <w:r>
        <w:rPr>
          <w:rFonts w:ascii="Times New Roman" w:hAnsi="仿宋" w:eastAsia="仿宋" w:cs="Times New Roman"/>
          <w:bCs/>
          <w:color w:val="000000"/>
          <w:sz w:val="32"/>
          <w:szCs w:val="32"/>
        </w:rPr>
        <w:t>按支出用途分类，包括人员支出</w:t>
      </w:r>
      <w:r>
        <w:rPr>
          <w:rFonts w:ascii="Times New Roman" w:hAnsi="Times New Roman" w:eastAsia="仿宋" w:cs="Times New Roman"/>
          <w:bCs/>
          <w:color w:val="000000"/>
          <w:sz w:val="32"/>
          <w:szCs w:val="32"/>
        </w:rPr>
        <w:t>97.06</w:t>
      </w:r>
      <w:r>
        <w:rPr>
          <w:rFonts w:ascii="Times New Roman" w:hAnsi="仿宋" w:eastAsia="仿宋" w:cs="Times New Roman"/>
          <w:bCs/>
          <w:color w:val="000000"/>
          <w:sz w:val="32"/>
          <w:szCs w:val="32"/>
        </w:rPr>
        <w:t>万元，占</w:t>
      </w:r>
      <w:r>
        <w:rPr>
          <w:rFonts w:ascii="Times New Roman" w:hAnsi="Times New Roman" w:eastAsia="仿宋" w:cs="Times New Roman"/>
          <w:bCs/>
          <w:color w:val="000000"/>
          <w:sz w:val="32"/>
          <w:szCs w:val="32"/>
        </w:rPr>
        <w:t>62.8%</w:t>
      </w:r>
      <w:r>
        <w:rPr>
          <w:rFonts w:ascii="Times New Roman" w:hAnsi="仿宋" w:eastAsia="仿宋" w:cs="Times New Roman"/>
          <w:bCs/>
          <w:color w:val="000000"/>
          <w:sz w:val="32"/>
          <w:szCs w:val="32"/>
        </w:rPr>
        <w:t>；日常公用支出</w:t>
      </w:r>
      <w:r>
        <w:rPr>
          <w:rFonts w:ascii="Times New Roman" w:hAnsi="Times New Roman" w:eastAsia="仿宋" w:cs="Times New Roman"/>
          <w:bCs/>
          <w:color w:val="000000"/>
          <w:sz w:val="32"/>
          <w:szCs w:val="32"/>
        </w:rPr>
        <w:t>12.45</w:t>
      </w:r>
      <w:r>
        <w:rPr>
          <w:rFonts w:ascii="Times New Roman" w:hAnsi="仿宋" w:eastAsia="仿宋" w:cs="Times New Roman"/>
          <w:bCs/>
          <w:color w:val="000000"/>
          <w:sz w:val="32"/>
          <w:szCs w:val="32"/>
        </w:rPr>
        <w:t>万元，占</w:t>
      </w:r>
      <w:r>
        <w:rPr>
          <w:rFonts w:ascii="Times New Roman" w:hAnsi="Times New Roman" w:eastAsia="仿宋" w:cs="Times New Roman"/>
          <w:bCs/>
          <w:color w:val="000000"/>
          <w:sz w:val="32"/>
          <w:szCs w:val="32"/>
        </w:rPr>
        <w:t>8.1%</w:t>
      </w:r>
      <w:r>
        <w:rPr>
          <w:rFonts w:ascii="Times New Roman" w:hAnsi="仿宋" w:eastAsia="仿宋" w:cs="Times New Roman"/>
          <w:bCs/>
          <w:color w:val="000000"/>
          <w:sz w:val="32"/>
          <w:szCs w:val="32"/>
        </w:rPr>
        <w:t>；项目支出</w:t>
      </w:r>
      <w:r>
        <w:rPr>
          <w:rFonts w:ascii="Times New Roman" w:hAnsi="Times New Roman" w:eastAsia="仿宋" w:cs="Times New Roman"/>
          <w:bCs/>
          <w:color w:val="000000"/>
          <w:sz w:val="32"/>
          <w:szCs w:val="32"/>
        </w:rPr>
        <w:t>44.85</w:t>
      </w:r>
      <w:r>
        <w:rPr>
          <w:rFonts w:ascii="Times New Roman" w:hAnsi="仿宋" w:eastAsia="仿宋" w:cs="Times New Roman"/>
          <w:bCs/>
          <w:color w:val="000000"/>
          <w:sz w:val="32"/>
          <w:szCs w:val="32"/>
        </w:rPr>
        <w:t>万元，占</w:t>
      </w:r>
      <w:r>
        <w:rPr>
          <w:rFonts w:ascii="Times New Roman" w:hAnsi="Times New Roman" w:eastAsia="仿宋" w:cs="Times New Roman"/>
          <w:bCs/>
          <w:color w:val="000000"/>
          <w:sz w:val="32"/>
          <w:szCs w:val="32"/>
        </w:rPr>
        <w:t>29.1%</w:t>
      </w:r>
      <w:r>
        <w:rPr>
          <w:rFonts w:ascii="Times New Roman" w:hAnsi="仿宋" w:eastAsia="仿宋" w:cs="Times New Roman"/>
          <w:bCs/>
          <w:color w:val="000000"/>
          <w:sz w:val="32"/>
          <w:szCs w:val="32"/>
        </w:rPr>
        <w:t>。</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仿宋" w:eastAsia="仿宋" w:cs="Times New Roman"/>
          <w:bCs/>
          <w:color w:val="000000"/>
          <w:sz w:val="32"/>
          <w:szCs w:val="32"/>
        </w:rPr>
        <w:t>结转下年</w:t>
      </w:r>
      <w:r>
        <w:rPr>
          <w:rFonts w:ascii="Times New Roman" w:hAnsi="Times New Roman" w:eastAsia="仿宋" w:cs="Times New Roman"/>
          <w:bCs/>
          <w:color w:val="000000"/>
          <w:sz w:val="32"/>
          <w:szCs w:val="32"/>
        </w:rPr>
        <w:t>0</w:t>
      </w:r>
      <w:r>
        <w:rPr>
          <w:rFonts w:ascii="Times New Roman" w:hAnsi="仿宋" w:eastAsia="仿宋" w:cs="Times New Roman"/>
          <w:bCs/>
          <w:color w:val="000000"/>
          <w:sz w:val="32"/>
          <w:szCs w:val="32"/>
        </w:rPr>
        <w:t>万元。</w:t>
      </w:r>
    </w:p>
    <w:p>
      <w:pPr>
        <w:spacing w:line="560" w:lineRule="exact"/>
        <w:ind w:firstLine="643" w:firstLineChars="200"/>
        <w:rPr>
          <w:rFonts w:ascii="楷体" w:hAnsi="楷体" w:eastAsia="楷体" w:cs="Times New Roman"/>
          <w:b/>
          <w:color w:val="000000"/>
          <w:sz w:val="32"/>
          <w:szCs w:val="32"/>
        </w:rPr>
      </w:pPr>
      <w:r>
        <w:rPr>
          <w:rFonts w:ascii="楷体" w:hAnsi="楷体" w:eastAsia="楷体" w:cs="Times New Roman"/>
          <w:b/>
          <w:color w:val="000000"/>
          <w:sz w:val="32"/>
          <w:szCs w:val="32"/>
        </w:rPr>
        <w:t>（四）关于金华市</w:t>
      </w:r>
      <w:r>
        <w:rPr>
          <w:rFonts w:hint="eastAsia" w:ascii="楷体" w:hAnsi="楷体" w:eastAsia="楷体" w:cs="Times New Roman"/>
          <w:b/>
          <w:color w:val="000000"/>
          <w:sz w:val="32"/>
          <w:szCs w:val="32"/>
        </w:rPr>
        <w:t>“</w:t>
      </w:r>
      <w:r>
        <w:rPr>
          <w:rFonts w:ascii="楷体" w:hAnsi="楷体" w:eastAsia="楷体" w:cs="Times New Roman"/>
          <w:b/>
          <w:color w:val="000000"/>
          <w:sz w:val="32"/>
          <w:szCs w:val="32"/>
        </w:rPr>
        <w:t>一带一路</w:t>
      </w:r>
      <w:r>
        <w:rPr>
          <w:rFonts w:hint="eastAsia" w:ascii="楷体" w:hAnsi="楷体" w:eastAsia="楷体" w:cs="Times New Roman"/>
          <w:b/>
          <w:color w:val="000000"/>
          <w:sz w:val="32"/>
          <w:szCs w:val="32"/>
        </w:rPr>
        <w:t>”</w:t>
      </w:r>
      <w:r>
        <w:rPr>
          <w:rFonts w:ascii="楷体" w:hAnsi="楷体" w:eastAsia="楷体" w:cs="Times New Roman"/>
          <w:b/>
          <w:color w:val="000000"/>
          <w:sz w:val="32"/>
          <w:szCs w:val="32"/>
        </w:rPr>
        <w:t>贸易投资促进中心2021年财政拨款收支预算情况的总体说明</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仿宋" w:eastAsia="仿宋" w:cs="Times New Roman"/>
          <w:bCs/>
          <w:color w:val="000000"/>
          <w:sz w:val="32"/>
          <w:szCs w:val="32"/>
        </w:rPr>
        <w:t>金华市</w:t>
      </w:r>
      <w:r>
        <w:rPr>
          <w:rFonts w:hint="eastAsia" w:ascii="Times New Roman" w:hAnsi="仿宋" w:eastAsia="仿宋" w:cs="Times New Roman"/>
          <w:bCs/>
          <w:color w:val="000000"/>
          <w:sz w:val="32"/>
          <w:szCs w:val="32"/>
        </w:rPr>
        <w:t>“</w:t>
      </w:r>
      <w:r>
        <w:rPr>
          <w:rFonts w:ascii="Times New Roman" w:hAnsi="仿宋" w:eastAsia="仿宋" w:cs="Times New Roman"/>
          <w:bCs/>
          <w:color w:val="000000"/>
          <w:sz w:val="32"/>
          <w:szCs w:val="32"/>
        </w:rPr>
        <w:t>一带一路</w:t>
      </w:r>
      <w:r>
        <w:rPr>
          <w:rFonts w:hint="eastAsia" w:ascii="Times New Roman" w:hAnsi="仿宋" w:eastAsia="仿宋" w:cs="Times New Roman"/>
          <w:bCs/>
          <w:color w:val="000000"/>
          <w:sz w:val="32"/>
          <w:szCs w:val="32"/>
        </w:rPr>
        <w:t>”</w:t>
      </w:r>
      <w:r>
        <w:rPr>
          <w:rFonts w:ascii="Times New Roman" w:hAnsi="仿宋" w:eastAsia="仿宋" w:cs="Times New Roman"/>
          <w:bCs/>
          <w:color w:val="000000"/>
          <w:sz w:val="32"/>
          <w:szCs w:val="32"/>
        </w:rPr>
        <w:t>贸易投资促进中心</w:t>
      </w:r>
      <w:r>
        <w:rPr>
          <w:rFonts w:ascii="Times New Roman" w:hAnsi="Times New Roman" w:eastAsia="仿宋" w:cs="Times New Roman"/>
          <w:bCs/>
          <w:color w:val="000000"/>
          <w:sz w:val="32"/>
          <w:szCs w:val="32"/>
        </w:rPr>
        <w:t>2021</w:t>
      </w:r>
      <w:r>
        <w:rPr>
          <w:rFonts w:ascii="Times New Roman" w:hAnsi="仿宋" w:eastAsia="仿宋" w:cs="Times New Roman"/>
          <w:bCs/>
          <w:color w:val="000000"/>
          <w:sz w:val="32"/>
          <w:szCs w:val="32"/>
        </w:rPr>
        <w:t>年财政拨款收支总预算</w:t>
      </w:r>
      <w:r>
        <w:rPr>
          <w:rFonts w:ascii="Times New Roman" w:hAnsi="Times New Roman" w:eastAsia="仿宋" w:cs="Times New Roman"/>
          <w:bCs/>
          <w:color w:val="000000"/>
          <w:sz w:val="32"/>
          <w:szCs w:val="32"/>
        </w:rPr>
        <w:t>154.36</w:t>
      </w:r>
      <w:r>
        <w:rPr>
          <w:rFonts w:ascii="Times New Roman" w:hAnsi="仿宋" w:eastAsia="仿宋" w:cs="Times New Roman"/>
          <w:bCs/>
          <w:color w:val="000000"/>
          <w:sz w:val="32"/>
          <w:szCs w:val="32"/>
        </w:rPr>
        <w:t>万元。收入包括：一般公共预算</w:t>
      </w:r>
      <w:r>
        <w:rPr>
          <w:rFonts w:ascii="Times New Roman" w:hAnsi="Times New Roman" w:eastAsia="仿宋" w:cs="Times New Roman"/>
          <w:bCs/>
          <w:color w:val="000000"/>
          <w:sz w:val="32"/>
          <w:szCs w:val="32"/>
        </w:rPr>
        <w:t>154.36</w:t>
      </w:r>
      <w:r>
        <w:rPr>
          <w:rFonts w:ascii="Times New Roman" w:hAnsi="仿宋" w:eastAsia="仿宋" w:cs="Times New Roman"/>
          <w:bCs/>
          <w:color w:val="000000"/>
          <w:sz w:val="32"/>
          <w:szCs w:val="32"/>
        </w:rPr>
        <w:t>万元、政府性基金</w:t>
      </w:r>
      <w:r>
        <w:rPr>
          <w:rFonts w:ascii="Times New Roman" w:hAnsi="Times New Roman" w:eastAsia="仿宋" w:cs="Times New Roman"/>
          <w:bCs/>
          <w:color w:val="000000"/>
          <w:sz w:val="32"/>
          <w:szCs w:val="32"/>
        </w:rPr>
        <w:t>0</w:t>
      </w:r>
      <w:r>
        <w:rPr>
          <w:rFonts w:ascii="Times New Roman" w:hAnsi="仿宋" w:eastAsia="仿宋" w:cs="Times New Roman"/>
          <w:bCs/>
          <w:color w:val="000000"/>
          <w:sz w:val="32"/>
          <w:szCs w:val="32"/>
        </w:rPr>
        <w:t>万元；支出包括：一般公共服务支出</w:t>
      </w:r>
      <w:r>
        <w:rPr>
          <w:rFonts w:ascii="Times New Roman" w:hAnsi="Times New Roman" w:eastAsia="仿宋" w:cs="Times New Roman"/>
          <w:bCs/>
          <w:color w:val="000000"/>
          <w:sz w:val="32"/>
          <w:szCs w:val="32"/>
        </w:rPr>
        <w:t>128.49</w:t>
      </w:r>
      <w:r>
        <w:rPr>
          <w:rFonts w:ascii="Times New Roman" w:hAnsi="仿宋" w:eastAsia="仿宋" w:cs="Times New Roman"/>
          <w:bCs/>
          <w:color w:val="000000"/>
          <w:sz w:val="32"/>
          <w:szCs w:val="32"/>
        </w:rPr>
        <w:t>万元、教育支出</w:t>
      </w:r>
      <w:r>
        <w:rPr>
          <w:rFonts w:ascii="Times New Roman" w:hAnsi="Times New Roman" w:eastAsia="仿宋" w:cs="Times New Roman"/>
          <w:bCs/>
          <w:color w:val="000000"/>
          <w:sz w:val="32"/>
          <w:szCs w:val="32"/>
        </w:rPr>
        <w:t>1.01</w:t>
      </w:r>
      <w:r>
        <w:rPr>
          <w:rFonts w:ascii="Times New Roman" w:hAnsi="仿宋" w:eastAsia="仿宋" w:cs="Times New Roman"/>
          <w:bCs/>
          <w:color w:val="000000"/>
          <w:sz w:val="32"/>
          <w:szCs w:val="32"/>
        </w:rPr>
        <w:t>万元、社会保障和就业支出</w:t>
      </w:r>
      <w:r>
        <w:rPr>
          <w:rFonts w:ascii="Times New Roman" w:hAnsi="Times New Roman" w:eastAsia="仿宋" w:cs="Times New Roman"/>
          <w:bCs/>
          <w:color w:val="000000"/>
          <w:sz w:val="32"/>
          <w:szCs w:val="32"/>
        </w:rPr>
        <w:t>9.05</w:t>
      </w:r>
      <w:r>
        <w:rPr>
          <w:rFonts w:ascii="Times New Roman" w:hAnsi="仿宋" w:eastAsia="仿宋" w:cs="Times New Roman"/>
          <w:bCs/>
          <w:color w:val="000000"/>
          <w:sz w:val="32"/>
          <w:szCs w:val="32"/>
        </w:rPr>
        <w:t>万元、卫生健康支出</w:t>
      </w:r>
      <w:r>
        <w:rPr>
          <w:rFonts w:ascii="Times New Roman" w:hAnsi="Times New Roman" w:eastAsia="仿宋" w:cs="Times New Roman"/>
          <w:bCs/>
          <w:color w:val="000000"/>
          <w:sz w:val="32"/>
          <w:szCs w:val="32"/>
        </w:rPr>
        <w:t>3.58</w:t>
      </w:r>
      <w:r>
        <w:rPr>
          <w:rFonts w:ascii="Times New Roman" w:hAnsi="仿宋" w:eastAsia="仿宋" w:cs="Times New Roman"/>
          <w:bCs/>
          <w:color w:val="000000"/>
          <w:sz w:val="32"/>
          <w:szCs w:val="32"/>
        </w:rPr>
        <w:t>万元、住房保障支出</w:t>
      </w:r>
      <w:r>
        <w:rPr>
          <w:rFonts w:ascii="Times New Roman" w:hAnsi="Times New Roman" w:eastAsia="仿宋" w:cs="Times New Roman"/>
          <w:bCs/>
          <w:color w:val="000000"/>
          <w:sz w:val="32"/>
          <w:szCs w:val="32"/>
        </w:rPr>
        <w:t>12.23</w:t>
      </w:r>
      <w:r>
        <w:rPr>
          <w:rFonts w:ascii="Times New Roman" w:hAnsi="仿宋" w:eastAsia="仿宋" w:cs="Times New Roman"/>
          <w:bCs/>
          <w:color w:val="000000"/>
          <w:sz w:val="32"/>
          <w:szCs w:val="32"/>
        </w:rPr>
        <w:t>万元。</w:t>
      </w:r>
    </w:p>
    <w:p>
      <w:pPr>
        <w:numPr>
          <w:ilvl w:val="0"/>
          <w:numId w:val="1"/>
        </w:numPr>
        <w:spacing w:line="560" w:lineRule="exact"/>
        <w:ind w:firstLine="643" w:firstLineChars="200"/>
        <w:rPr>
          <w:rFonts w:ascii="楷体" w:hAnsi="楷体" w:eastAsia="楷体" w:cs="Times New Roman"/>
          <w:b/>
          <w:color w:val="000000"/>
          <w:sz w:val="32"/>
          <w:szCs w:val="32"/>
        </w:rPr>
      </w:pPr>
      <w:r>
        <w:rPr>
          <w:rFonts w:ascii="楷体" w:hAnsi="楷体" w:eastAsia="楷体" w:cs="Times New Roman"/>
          <w:b/>
          <w:color w:val="000000"/>
          <w:sz w:val="32"/>
          <w:szCs w:val="32"/>
        </w:rPr>
        <w:t>关于金华市</w:t>
      </w:r>
      <w:r>
        <w:rPr>
          <w:rFonts w:hint="eastAsia" w:ascii="楷体" w:hAnsi="楷体" w:eastAsia="楷体" w:cs="Times New Roman"/>
          <w:b/>
          <w:color w:val="000000"/>
          <w:sz w:val="32"/>
          <w:szCs w:val="32"/>
        </w:rPr>
        <w:t>“</w:t>
      </w:r>
      <w:r>
        <w:rPr>
          <w:rFonts w:ascii="楷体" w:hAnsi="楷体" w:eastAsia="楷体" w:cs="Times New Roman"/>
          <w:b/>
          <w:color w:val="000000"/>
          <w:sz w:val="32"/>
          <w:szCs w:val="32"/>
        </w:rPr>
        <w:t>一带一路</w:t>
      </w:r>
      <w:r>
        <w:rPr>
          <w:rFonts w:hint="eastAsia" w:ascii="楷体" w:hAnsi="楷体" w:eastAsia="楷体" w:cs="Times New Roman"/>
          <w:b/>
          <w:color w:val="000000"/>
          <w:sz w:val="32"/>
          <w:szCs w:val="32"/>
        </w:rPr>
        <w:t>”</w:t>
      </w:r>
      <w:r>
        <w:rPr>
          <w:rFonts w:ascii="楷体" w:hAnsi="楷体" w:eastAsia="楷体" w:cs="Times New Roman"/>
          <w:b/>
          <w:color w:val="000000"/>
          <w:sz w:val="32"/>
          <w:szCs w:val="32"/>
        </w:rPr>
        <w:t>贸易投资促进中心</w:t>
      </w:r>
      <w:r>
        <w:rPr>
          <w:rFonts w:ascii="楷体" w:hAnsi="楷体" w:eastAsia="楷体" w:cs="Times New Roman"/>
          <w:b/>
          <w:bCs/>
          <w:color w:val="000000"/>
          <w:sz w:val="32"/>
          <w:szCs w:val="32"/>
        </w:rPr>
        <w:t>2021年</w:t>
      </w:r>
      <w:r>
        <w:rPr>
          <w:rFonts w:ascii="楷体" w:hAnsi="楷体" w:eastAsia="楷体" w:cs="Times New Roman"/>
          <w:b/>
          <w:color w:val="000000"/>
          <w:sz w:val="32"/>
          <w:szCs w:val="32"/>
        </w:rPr>
        <w:t>一般公共预算当年拨款情况说明</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Times New Roman" w:eastAsia="仿宋" w:cs="Times New Roman"/>
          <w:bCs/>
          <w:color w:val="000000"/>
          <w:sz w:val="32"/>
          <w:szCs w:val="32"/>
        </w:rPr>
        <w:t>1.</w:t>
      </w:r>
      <w:r>
        <w:rPr>
          <w:rFonts w:ascii="Times New Roman" w:hAnsi="仿宋" w:eastAsia="仿宋" w:cs="Times New Roman"/>
          <w:bCs/>
          <w:color w:val="000000"/>
          <w:sz w:val="32"/>
          <w:szCs w:val="32"/>
        </w:rPr>
        <w:t>一般公共预算当年拨款规模变化情况</w:t>
      </w:r>
      <w:r>
        <w:rPr>
          <w:rFonts w:hint="eastAsia" w:ascii="Times New Roman" w:hAnsi="仿宋" w:eastAsia="仿宋" w:cs="Times New Roman"/>
          <w:bCs/>
          <w:color w:val="000000"/>
          <w:sz w:val="32"/>
          <w:szCs w:val="32"/>
        </w:rPr>
        <w:t>。</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仿宋" w:eastAsia="仿宋" w:cs="Times New Roman"/>
          <w:bCs/>
          <w:color w:val="000000"/>
          <w:sz w:val="32"/>
          <w:szCs w:val="32"/>
        </w:rPr>
        <w:t>金华市</w:t>
      </w:r>
      <w:r>
        <w:rPr>
          <w:rFonts w:hint="eastAsia" w:ascii="Times New Roman" w:hAnsi="仿宋" w:eastAsia="仿宋" w:cs="Times New Roman"/>
          <w:bCs/>
          <w:color w:val="000000"/>
          <w:sz w:val="32"/>
          <w:szCs w:val="32"/>
        </w:rPr>
        <w:t>“</w:t>
      </w:r>
      <w:r>
        <w:rPr>
          <w:rFonts w:ascii="Times New Roman" w:hAnsi="仿宋" w:eastAsia="仿宋" w:cs="Times New Roman"/>
          <w:bCs/>
          <w:color w:val="000000"/>
          <w:sz w:val="32"/>
          <w:szCs w:val="32"/>
        </w:rPr>
        <w:t>一带一路</w:t>
      </w:r>
      <w:r>
        <w:rPr>
          <w:rFonts w:hint="eastAsia" w:ascii="Times New Roman" w:hAnsi="仿宋" w:eastAsia="仿宋" w:cs="Times New Roman"/>
          <w:bCs/>
          <w:color w:val="000000"/>
          <w:sz w:val="32"/>
          <w:szCs w:val="32"/>
        </w:rPr>
        <w:t>”</w:t>
      </w:r>
      <w:r>
        <w:rPr>
          <w:rFonts w:ascii="Times New Roman" w:hAnsi="仿宋" w:eastAsia="仿宋" w:cs="Times New Roman"/>
          <w:bCs/>
          <w:color w:val="000000"/>
          <w:sz w:val="32"/>
          <w:szCs w:val="32"/>
        </w:rPr>
        <w:t>贸易投资促进中心</w:t>
      </w:r>
      <w:r>
        <w:rPr>
          <w:rFonts w:ascii="Times New Roman" w:hAnsi="Times New Roman" w:eastAsia="仿宋" w:cs="Times New Roman"/>
          <w:bCs/>
          <w:color w:val="000000"/>
          <w:sz w:val="32"/>
          <w:szCs w:val="32"/>
        </w:rPr>
        <w:t>2021</w:t>
      </w:r>
      <w:r>
        <w:rPr>
          <w:rFonts w:ascii="Times New Roman" w:hAnsi="仿宋" w:eastAsia="仿宋" w:cs="Times New Roman"/>
          <w:bCs/>
          <w:color w:val="000000"/>
          <w:sz w:val="32"/>
          <w:szCs w:val="32"/>
        </w:rPr>
        <w:t>年一般公共预算当年拨款</w:t>
      </w:r>
      <w:r>
        <w:rPr>
          <w:rFonts w:ascii="Times New Roman" w:hAnsi="Times New Roman" w:eastAsia="仿宋" w:cs="Times New Roman"/>
          <w:bCs/>
          <w:color w:val="000000"/>
          <w:sz w:val="32"/>
          <w:szCs w:val="32"/>
        </w:rPr>
        <w:t>154.36</w:t>
      </w:r>
      <w:r>
        <w:rPr>
          <w:rFonts w:ascii="Times New Roman" w:hAnsi="仿宋" w:eastAsia="仿宋" w:cs="Times New Roman"/>
          <w:bCs/>
          <w:color w:val="000000"/>
          <w:sz w:val="32"/>
          <w:szCs w:val="32"/>
        </w:rPr>
        <w:t>万元，比</w:t>
      </w:r>
      <w:r>
        <w:rPr>
          <w:rFonts w:ascii="Times New Roman" w:hAnsi="Times New Roman" w:eastAsia="仿宋" w:cs="Times New Roman"/>
          <w:bCs/>
          <w:color w:val="000000"/>
          <w:sz w:val="32"/>
          <w:szCs w:val="32"/>
        </w:rPr>
        <w:t>2020</w:t>
      </w:r>
      <w:r>
        <w:rPr>
          <w:rFonts w:ascii="Times New Roman" w:hAnsi="仿宋" w:eastAsia="仿宋" w:cs="Times New Roman"/>
          <w:bCs/>
          <w:color w:val="000000"/>
          <w:sz w:val="32"/>
          <w:szCs w:val="32"/>
        </w:rPr>
        <w:t>年执行数增加</w:t>
      </w:r>
      <w:r>
        <w:rPr>
          <w:rFonts w:ascii="Times New Roman" w:hAnsi="Times New Roman" w:eastAsia="仿宋" w:cs="Times New Roman"/>
          <w:bCs/>
          <w:color w:val="000000"/>
          <w:sz w:val="32"/>
          <w:szCs w:val="32"/>
        </w:rPr>
        <w:t>21.76</w:t>
      </w:r>
      <w:r>
        <w:rPr>
          <w:rFonts w:ascii="Times New Roman" w:hAnsi="仿宋" w:eastAsia="仿宋" w:cs="Times New Roman"/>
          <w:bCs/>
          <w:color w:val="000000"/>
          <w:sz w:val="32"/>
          <w:szCs w:val="32"/>
        </w:rPr>
        <w:t>万元，主要</w:t>
      </w:r>
      <w:r>
        <w:rPr>
          <w:rFonts w:hint="eastAsia" w:ascii="Times New Roman" w:hAnsi="仿宋" w:eastAsia="仿宋" w:cs="Times New Roman"/>
          <w:bCs/>
          <w:color w:val="000000"/>
          <w:sz w:val="32"/>
          <w:szCs w:val="32"/>
        </w:rPr>
        <w:t>原因</w:t>
      </w:r>
      <w:r>
        <w:rPr>
          <w:rFonts w:ascii="Times New Roman" w:hAnsi="仿宋" w:eastAsia="仿宋" w:cs="Times New Roman"/>
          <w:bCs/>
          <w:color w:val="000000"/>
          <w:sz w:val="32"/>
          <w:szCs w:val="32"/>
        </w:rPr>
        <w:t>是因为工资调整以及疫情好转，活动增加。</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Times New Roman" w:eastAsia="仿宋" w:cs="Times New Roman"/>
          <w:bCs/>
          <w:color w:val="000000"/>
          <w:sz w:val="32"/>
          <w:szCs w:val="32"/>
        </w:rPr>
        <w:t>2.</w:t>
      </w:r>
      <w:r>
        <w:rPr>
          <w:rFonts w:ascii="Times New Roman" w:hAnsi="仿宋" w:eastAsia="仿宋" w:cs="Times New Roman"/>
          <w:bCs/>
          <w:color w:val="000000"/>
          <w:sz w:val="32"/>
          <w:szCs w:val="32"/>
        </w:rPr>
        <w:t>一般公共预算当年拨款结构情况</w:t>
      </w:r>
      <w:r>
        <w:rPr>
          <w:rFonts w:hint="eastAsia" w:ascii="Times New Roman" w:hAnsi="仿宋" w:eastAsia="仿宋" w:cs="Times New Roman"/>
          <w:bCs/>
          <w:color w:val="000000"/>
          <w:sz w:val="32"/>
          <w:szCs w:val="32"/>
        </w:rPr>
        <w:t>。</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仿宋" w:eastAsia="仿宋" w:cs="Times New Roman"/>
          <w:bCs/>
          <w:color w:val="000000"/>
          <w:sz w:val="32"/>
          <w:szCs w:val="32"/>
        </w:rPr>
        <w:t>一般公共服务（类）支出</w:t>
      </w:r>
      <w:r>
        <w:rPr>
          <w:rFonts w:ascii="Times New Roman" w:hAnsi="Times New Roman" w:eastAsia="仿宋" w:cs="Times New Roman"/>
          <w:bCs/>
          <w:color w:val="000000"/>
          <w:sz w:val="32"/>
          <w:szCs w:val="32"/>
        </w:rPr>
        <w:t>128.49</w:t>
      </w:r>
      <w:r>
        <w:rPr>
          <w:rFonts w:ascii="Times New Roman" w:hAnsi="仿宋" w:eastAsia="仿宋" w:cs="Times New Roman"/>
          <w:bCs/>
          <w:color w:val="000000"/>
          <w:sz w:val="32"/>
          <w:szCs w:val="32"/>
        </w:rPr>
        <w:t>万元，占</w:t>
      </w:r>
      <w:r>
        <w:rPr>
          <w:rFonts w:ascii="Times New Roman" w:hAnsi="Times New Roman" w:eastAsia="仿宋" w:cs="Times New Roman"/>
          <w:bCs/>
          <w:color w:val="000000"/>
          <w:sz w:val="32"/>
          <w:szCs w:val="32"/>
        </w:rPr>
        <w:t>83.2%</w:t>
      </w:r>
      <w:r>
        <w:rPr>
          <w:rFonts w:ascii="Times New Roman" w:hAnsi="仿宋" w:eastAsia="仿宋" w:cs="Times New Roman"/>
          <w:bCs/>
          <w:color w:val="000000"/>
          <w:sz w:val="32"/>
          <w:szCs w:val="32"/>
        </w:rPr>
        <w:t>；教育支出</w:t>
      </w:r>
      <w:r>
        <w:rPr>
          <w:rFonts w:ascii="Times New Roman" w:hAnsi="Times New Roman" w:eastAsia="仿宋" w:cs="Times New Roman"/>
          <w:bCs/>
          <w:color w:val="000000"/>
          <w:sz w:val="32"/>
          <w:szCs w:val="32"/>
        </w:rPr>
        <w:t>1.01</w:t>
      </w:r>
      <w:r>
        <w:rPr>
          <w:rFonts w:ascii="Times New Roman" w:hAnsi="仿宋" w:eastAsia="仿宋" w:cs="Times New Roman"/>
          <w:bCs/>
          <w:color w:val="000000"/>
          <w:sz w:val="32"/>
          <w:szCs w:val="32"/>
        </w:rPr>
        <w:t>万元，占</w:t>
      </w:r>
      <w:r>
        <w:rPr>
          <w:rFonts w:ascii="Times New Roman" w:hAnsi="Times New Roman" w:eastAsia="仿宋" w:cs="Times New Roman"/>
          <w:bCs/>
          <w:color w:val="000000"/>
          <w:sz w:val="32"/>
          <w:szCs w:val="32"/>
        </w:rPr>
        <w:t>0.7%</w:t>
      </w:r>
      <w:r>
        <w:rPr>
          <w:rFonts w:ascii="Times New Roman" w:hAnsi="仿宋" w:eastAsia="仿宋" w:cs="Times New Roman"/>
          <w:bCs/>
          <w:color w:val="000000"/>
          <w:sz w:val="32"/>
          <w:szCs w:val="32"/>
        </w:rPr>
        <w:t>；社会保障和就业（类）支出</w:t>
      </w:r>
      <w:r>
        <w:rPr>
          <w:rFonts w:ascii="Times New Roman" w:hAnsi="Times New Roman" w:eastAsia="仿宋" w:cs="Times New Roman"/>
          <w:bCs/>
          <w:color w:val="000000"/>
          <w:sz w:val="32"/>
          <w:szCs w:val="32"/>
        </w:rPr>
        <w:t>9.05</w:t>
      </w:r>
      <w:r>
        <w:rPr>
          <w:rFonts w:ascii="Times New Roman" w:hAnsi="仿宋" w:eastAsia="仿宋" w:cs="Times New Roman"/>
          <w:bCs/>
          <w:color w:val="000000"/>
          <w:sz w:val="32"/>
          <w:szCs w:val="32"/>
        </w:rPr>
        <w:t>万元，占</w:t>
      </w:r>
      <w:r>
        <w:rPr>
          <w:rFonts w:ascii="Times New Roman" w:hAnsi="Times New Roman" w:eastAsia="仿宋" w:cs="Times New Roman"/>
          <w:bCs/>
          <w:color w:val="000000"/>
          <w:sz w:val="32"/>
          <w:szCs w:val="32"/>
        </w:rPr>
        <w:t>5.9%</w:t>
      </w:r>
      <w:r>
        <w:rPr>
          <w:rFonts w:ascii="Times New Roman" w:hAnsi="仿宋" w:eastAsia="仿宋" w:cs="Times New Roman"/>
          <w:bCs/>
          <w:color w:val="000000"/>
          <w:sz w:val="32"/>
          <w:szCs w:val="32"/>
        </w:rPr>
        <w:t>；卫生健康支出</w:t>
      </w:r>
      <w:r>
        <w:rPr>
          <w:rFonts w:ascii="Times New Roman" w:hAnsi="Times New Roman" w:eastAsia="仿宋" w:cs="Times New Roman"/>
          <w:bCs/>
          <w:color w:val="000000"/>
          <w:sz w:val="32"/>
          <w:szCs w:val="32"/>
        </w:rPr>
        <w:t>3.58</w:t>
      </w:r>
      <w:r>
        <w:rPr>
          <w:rFonts w:ascii="Times New Roman" w:hAnsi="仿宋" w:eastAsia="仿宋" w:cs="Times New Roman"/>
          <w:bCs/>
          <w:color w:val="000000"/>
          <w:sz w:val="32"/>
          <w:szCs w:val="32"/>
        </w:rPr>
        <w:t>万元，占</w:t>
      </w:r>
      <w:r>
        <w:rPr>
          <w:rFonts w:ascii="Times New Roman" w:hAnsi="Times New Roman" w:eastAsia="仿宋" w:cs="Times New Roman"/>
          <w:bCs/>
          <w:color w:val="000000"/>
          <w:sz w:val="32"/>
          <w:szCs w:val="32"/>
        </w:rPr>
        <w:t>2.3%</w:t>
      </w:r>
      <w:bookmarkStart w:id="0" w:name="OLE_LINK3"/>
      <w:r>
        <w:rPr>
          <w:rFonts w:ascii="Times New Roman" w:hAnsi="仿宋" w:eastAsia="仿宋" w:cs="Times New Roman"/>
          <w:bCs/>
          <w:color w:val="000000"/>
          <w:sz w:val="32"/>
          <w:szCs w:val="32"/>
        </w:rPr>
        <w:t>；住房保障支出</w:t>
      </w:r>
      <w:r>
        <w:rPr>
          <w:rFonts w:ascii="Times New Roman" w:hAnsi="Times New Roman" w:eastAsia="仿宋" w:cs="Times New Roman"/>
          <w:bCs/>
          <w:color w:val="000000"/>
          <w:sz w:val="32"/>
          <w:szCs w:val="32"/>
        </w:rPr>
        <w:t>12.23</w:t>
      </w:r>
      <w:r>
        <w:rPr>
          <w:rFonts w:ascii="Times New Roman" w:hAnsi="仿宋" w:eastAsia="仿宋" w:cs="Times New Roman"/>
          <w:bCs/>
          <w:color w:val="000000"/>
          <w:sz w:val="32"/>
          <w:szCs w:val="32"/>
        </w:rPr>
        <w:t>万元，占</w:t>
      </w:r>
      <w:r>
        <w:rPr>
          <w:rFonts w:ascii="Times New Roman" w:hAnsi="Times New Roman" w:eastAsia="仿宋" w:cs="Times New Roman"/>
          <w:bCs/>
          <w:color w:val="000000"/>
          <w:sz w:val="32"/>
          <w:szCs w:val="32"/>
        </w:rPr>
        <w:t>7.9%</w:t>
      </w:r>
      <w:bookmarkEnd w:id="0"/>
      <w:r>
        <w:rPr>
          <w:rFonts w:ascii="Times New Roman" w:hAnsi="仿宋" w:eastAsia="仿宋" w:cs="Times New Roman"/>
          <w:bCs/>
          <w:color w:val="000000"/>
          <w:sz w:val="32"/>
          <w:szCs w:val="32"/>
        </w:rPr>
        <w:t>。</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Times New Roman" w:eastAsia="仿宋" w:cs="Times New Roman"/>
          <w:bCs/>
          <w:color w:val="000000"/>
          <w:sz w:val="32"/>
          <w:szCs w:val="32"/>
        </w:rPr>
        <w:t>3.</w:t>
      </w:r>
      <w:r>
        <w:rPr>
          <w:rFonts w:ascii="Times New Roman" w:hAnsi="仿宋" w:eastAsia="仿宋" w:cs="Times New Roman"/>
          <w:bCs/>
          <w:color w:val="000000"/>
          <w:sz w:val="32"/>
          <w:szCs w:val="32"/>
        </w:rPr>
        <w:t>一般公共预算当年拨款具体使用情况。</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仿宋" w:eastAsia="仿宋" w:cs="Times New Roman"/>
          <w:bCs/>
          <w:color w:val="000000"/>
          <w:sz w:val="32"/>
          <w:szCs w:val="32"/>
        </w:rPr>
        <w:t>（</w:t>
      </w:r>
      <w:r>
        <w:rPr>
          <w:rFonts w:ascii="Times New Roman" w:hAnsi="Times New Roman" w:eastAsia="仿宋" w:cs="Times New Roman"/>
          <w:bCs/>
          <w:color w:val="000000"/>
          <w:sz w:val="32"/>
          <w:szCs w:val="32"/>
        </w:rPr>
        <w:t>1</w:t>
      </w:r>
      <w:r>
        <w:rPr>
          <w:rFonts w:ascii="Times New Roman" w:hAnsi="仿宋" w:eastAsia="仿宋" w:cs="Times New Roman"/>
          <w:bCs/>
          <w:color w:val="000000"/>
          <w:sz w:val="32"/>
          <w:szCs w:val="32"/>
        </w:rPr>
        <w:t>）一般公共服务支出（类）商贸事务（款）一般行政管理事务（项）</w:t>
      </w:r>
      <w:r>
        <w:rPr>
          <w:rFonts w:ascii="Times New Roman" w:hAnsi="Times New Roman" w:eastAsia="仿宋" w:cs="Times New Roman"/>
          <w:bCs/>
          <w:color w:val="000000"/>
          <w:sz w:val="32"/>
          <w:szCs w:val="32"/>
        </w:rPr>
        <w:t>44.85</w:t>
      </w:r>
      <w:r>
        <w:rPr>
          <w:rFonts w:ascii="Times New Roman" w:hAnsi="仿宋" w:eastAsia="仿宋" w:cs="Times New Roman"/>
          <w:bCs/>
          <w:color w:val="000000"/>
          <w:sz w:val="32"/>
          <w:szCs w:val="32"/>
        </w:rPr>
        <w:t>万元，主要用于物管费、房租费、日常办公所需经费以及开展活动所需项目经费。</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仿宋" w:eastAsia="仿宋" w:cs="Times New Roman"/>
          <w:bCs/>
          <w:color w:val="000000"/>
          <w:sz w:val="32"/>
          <w:szCs w:val="32"/>
        </w:rPr>
        <w:t>（</w:t>
      </w:r>
      <w:r>
        <w:rPr>
          <w:rFonts w:ascii="Times New Roman" w:hAnsi="Times New Roman" w:eastAsia="仿宋" w:cs="Times New Roman"/>
          <w:bCs/>
          <w:color w:val="000000"/>
          <w:sz w:val="32"/>
          <w:szCs w:val="32"/>
        </w:rPr>
        <w:t>2</w:t>
      </w:r>
      <w:r>
        <w:rPr>
          <w:rFonts w:ascii="Times New Roman" w:hAnsi="仿宋" w:eastAsia="仿宋" w:cs="Times New Roman"/>
          <w:bCs/>
          <w:color w:val="000000"/>
          <w:sz w:val="32"/>
          <w:szCs w:val="32"/>
        </w:rPr>
        <w:t>）一般公共服务支出（类）商贸事务（款）事业运行（项）</w:t>
      </w:r>
      <w:r>
        <w:rPr>
          <w:rFonts w:ascii="Times New Roman" w:hAnsi="Times New Roman" w:eastAsia="仿宋" w:cs="Times New Roman"/>
          <w:bCs/>
          <w:color w:val="000000"/>
          <w:sz w:val="32"/>
          <w:szCs w:val="32"/>
        </w:rPr>
        <w:t>83.64</w:t>
      </w:r>
      <w:r>
        <w:rPr>
          <w:rFonts w:ascii="Times New Roman" w:hAnsi="仿宋" w:eastAsia="仿宋" w:cs="Times New Roman"/>
          <w:bCs/>
          <w:color w:val="000000"/>
          <w:sz w:val="32"/>
          <w:szCs w:val="32"/>
        </w:rPr>
        <w:t>万元，主要用于人员经费以及日常公用经费支出。</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仿宋" w:eastAsia="仿宋" w:cs="Times New Roman"/>
          <w:bCs/>
          <w:color w:val="000000"/>
          <w:sz w:val="32"/>
          <w:szCs w:val="32"/>
        </w:rPr>
        <w:t>（</w:t>
      </w:r>
      <w:r>
        <w:rPr>
          <w:rFonts w:ascii="Times New Roman" w:hAnsi="Times New Roman" w:eastAsia="仿宋" w:cs="Times New Roman"/>
          <w:bCs/>
          <w:color w:val="000000"/>
          <w:sz w:val="32"/>
          <w:szCs w:val="32"/>
        </w:rPr>
        <w:t>3</w:t>
      </w:r>
      <w:r>
        <w:rPr>
          <w:rFonts w:ascii="Times New Roman" w:hAnsi="仿宋" w:eastAsia="仿宋" w:cs="Times New Roman"/>
          <w:bCs/>
          <w:color w:val="000000"/>
          <w:sz w:val="32"/>
          <w:szCs w:val="32"/>
        </w:rPr>
        <w:t>）教育支出（类）进修及培训（款）培训支出（项）</w:t>
      </w:r>
      <w:r>
        <w:rPr>
          <w:rFonts w:ascii="Times New Roman" w:hAnsi="Times New Roman" w:eastAsia="仿宋" w:cs="Times New Roman"/>
          <w:bCs/>
          <w:color w:val="000000"/>
          <w:sz w:val="32"/>
          <w:szCs w:val="32"/>
        </w:rPr>
        <w:t>1.01</w:t>
      </w:r>
      <w:r>
        <w:rPr>
          <w:rFonts w:ascii="Times New Roman" w:hAnsi="仿宋" w:eastAsia="仿宋" w:cs="Times New Roman"/>
          <w:bCs/>
          <w:color w:val="000000"/>
          <w:sz w:val="32"/>
          <w:szCs w:val="32"/>
        </w:rPr>
        <w:t>万元，主要用于培训费</w:t>
      </w:r>
      <w:r>
        <w:rPr>
          <w:rFonts w:hint="eastAsia" w:ascii="Times New Roman" w:hAnsi="仿宋" w:eastAsia="仿宋" w:cs="Times New Roman"/>
          <w:bCs/>
          <w:color w:val="000000"/>
          <w:sz w:val="32"/>
          <w:szCs w:val="32"/>
        </w:rPr>
        <w:t>支出</w:t>
      </w:r>
      <w:r>
        <w:rPr>
          <w:rFonts w:ascii="Times New Roman" w:hAnsi="仿宋" w:eastAsia="仿宋" w:cs="Times New Roman"/>
          <w:bCs/>
          <w:color w:val="000000"/>
          <w:sz w:val="32"/>
          <w:szCs w:val="32"/>
        </w:rPr>
        <w:t>。</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仿宋" w:eastAsia="仿宋" w:cs="Times New Roman"/>
          <w:bCs/>
          <w:color w:val="000000"/>
          <w:sz w:val="32"/>
          <w:szCs w:val="32"/>
        </w:rPr>
        <w:t>（</w:t>
      </w:r>
      <w:r>
        <w:rPr>
          <w:rFonts w:ascii="Times New Roman" w:hAnsi="Times New Roman" w:eastAsia="仿宋" w:cs="Times New Roman"/>
          <w:bCs/>
          <w:color w:val="000000"/>
          <w:sz w:val="32"/>
          <w:szCs w:val="32"/>
        </w:rPr>
        <w:t>4</w:t>
      </w:r>
      <w:r>
        <w:rPr>
          <w:rFonts w:ascii="Times New Roman" w:hAnsi="仿宋" w:eastAsia="仿宋" w:cs="Times New Roman"/>
          <w:bCs/>
          <w:color w:val="000000"/>
          <w:sz w:val="32"/>
          <w:szCs w:val="32"/>
        </w:rPr>
        <w:t>）社会保障和就业支出（类）行政事业单位养老支出（款）机关事业单位职业年金缴费支出（项）</w:t>
      </w:r>
      <w:r>
        <w:rPr>
          <w:rFonts w:ascii="Times New Roman" w:hAnsi="Times New Roman" w:eastAsia="仿宋" w:cs="Times New Roman"/>
          <w:bCs/>
          <w:color w:val="000000"/>
          <w:sz w:val="32"/>
          <w:szCs w:val="32"/>
        </w:rPr>
        <w:t>3.02</w:t>
      </w:r>
      <w:r>
        <w:rPr>
          <w:rFonts w:ascii="Times New Roman" w:hAnsi="仿宋" w:eastAsia="仿宋" w:cs="Times New Roman"/>
          <w:bCs/>
          <w:color w:val="000000"/>
          <w:sz w:val="32"/>
          <w:szCs w:val="32"/>
        </w:rPr>
        <w:t>万元，主要用于</w:t>
      </w:r>
      <w:r>
        <w:rPr>
          <w:rFonts w:hint="eastAsia" w:ascii="Times New Roman" w:hAnsi="Times New Roman" w:eastAsia="仿宋_GB2312" w:cs="Times New Roman"/>
          <w:bCs/>
          <w:color w:val="000000"/>
          <w:sz w:val="32"/>
          <w:szCs w:val="32"/>
        </w:rPr>
        <w:t>由单位缴纳的职业年金支出</w:t>
      </w:r>
      <w:r>
        <w:rPr>
          <w:rFonts w:ascii="Times New Roman" w:hAnsi="仿宋" w:eastAsia="仿宋" w:cs="Times New Roman"/>
          <w:bCs/>
          <w:color w:val="000000"/>
          <w:sz w:val="32"/>
          <w:szCs w:val="32"/>
        </w:rPr>
        <w:t>。</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仿宋" w:eastAsia="仿宋" w:cs="Times New Roman"/>
          <w:bCs/>
          <w:color w:val="000000"/>
          <w:sz w:val="32"/>
          <w:szCs w:val="32"/>
        </w:rPr>
        <w:t>（</w:t>
      </w:r>
      <w:r>
        <w:rPr>
          <w:rFonts w:ascii="Times New Roman" w:hAnsi="Times New Roman" w:eastAsia="仿宋" w:cs="Times New Roman"/>
          <w:bCs/>
          <w:color w:val="000000"/>
          <w:sz w:val="32"/>
          <w:szCs w:val="32"/>
        </w:rPr>
        <w:t>5</w:t>
      </w:r>
      <w:r>
        <w:rPr>
          <w:rFonts w:ascii="Times New Roman" w:hAnsi="仿宋" w:eastAsia="仿宋" w:cs="Times New Roman"/>
          <w:bCs/>
          <w:color w:val="000000"/>
          <w:sz w:val="32"/>
          <w:szCs w:val="32"/>
        </w:rPr>
        <w:t>）社会保障和就业支出（类）行政事业单位养老支出（款）机关事业单位基本养老保险缴费支出（项）</w:t>
      </w:r>
      <w:r>
        <w:rPr>
          <w:rFonts w:ascii="Times New Roman" w:hAnsi="Times New Roman" w:eastAsia="仿宋" w:cs="Times New Roman"/>
          <w:bCs/>
          <w:color w:val="000000"/>
          <w:sz w:val="32"/>
          <w:szCs w:val="32"/>
        </w:rPr>
        <w:t>6.03</w:t>
      </w:r>
      <w:r>
        <w:rPr>
          <w:rFonts w:ascii="Times New Roman" w:hAnsi="仿宋" w:eastAsia="仿宋" w:cs="Times New Roman"/>
          <w:bCs/>
          <w:color w:val="000000"/>
          <w:sz w:val="32"/>
          <w:szCs w:val="32"/>
        </w:rPr>
        <w:t>万元，</w:t>
      </w:r>
      <w:r>
        <w:rPr>
          <w:rFonts w:ascii="Times New Roman" w:hAnsi="Times New Roman" w:eastAsia="仿宋_GB2312" w:cs="Times New Roman"/>
          <w:bCs/>
          <w:color w:val="000000"/>
          <w:sz w:val="32"/>
          <w:szCs w:val="32"/>
        </w:rPr>
        <w:t>主要用于</w:t>
      </w:r>
      <w:r>
        <w:rPr>
          <w:rFonts w:hint="eastAsia" w:ascii="Times New Roman" w:hAnsi="Times New Roman" w:eastAsia="仿宋_GB2312" w:cs="Times New Roman"/>
          <w:bCs/>
          <w:color w:val="000000"/>
          <w:sz w:val="32"/>
          <w:szCs w:val="32"/>
        </w:rPr>
        <w:t>由单位缴纳的基本养老保险费支出</w:t>
      </w:r>
      <w:r>
        <w:rPr>
          <w:rFonts w:ascii="Times New Roman" w:hAnsi="Times New Roman" w:eastAsia="仿宋_GB2312" w:cs="Times New Roman"/>
          <w:bCs/>
          <w:color w:val="000000"/>
          <w:sz w:val="32"/>
          <w:szCs w:val="32"/>
        </w:rPr>
        <w:t>。</w:t>
      </w:r>
    </w:p>
    <w:p>
      <w:pPr>
        <w:spacing w:line="560" w:lineRule="exact"/>
        <w:ind w:firstLine="640" w:firstLineChars="200"/>
        <w:rPr>
          <w:rFonts w:ascii="Times New Roman" w:hAnsi="Times New Roman" w:eastAsia="仿宋" w:cs="Times New Roman"/>
          <w:bCs/>
          <w:color w:val="000000"/>
          <w:sz w:val="32"/>
          <w:szCs w:val="32"/>
        </w:rPr>
      </w:pPr>
      <w:r>
        <w:rPr>
          <w:rFonts w:ascii="Times New Roman" w:hAnsi="仿宋" w:eastAsia="仿宋" w:cs="Times New Roman"/>
          <w:bCs/>
          <w:color w:val="000000"/>
          <w:sz w:val="32"/>
          <w:szCs w:val="32"/>
        </w:rPr>
        <w:t>（</w:t>
      </w:r>
      <w:r>
        <w:rPr>
          <w:rFonts w:ascii="Times New Roman" w:hAnsi="Times New Roman" w:eastAsia="仿宋" w:cs="Times New Roman"/>
          <w:bCs/>
          <w:color w:val="000000"/>
          <w:sz w:val="32"/>
          <w:szCs w:val="32"/>
        </w:rPr>
        <w:t>6</w:t>
      </w:r>
      <w:r>
        <w:rPr>
          <w:rFonts w:ascii="Times New Roman" w:hAnsi="仿宋" w:eastAsia="仿宋" w:cs="Times New Roman"/>
          <w:bCs/>
          <w:color w:val="000000"/>
          <w:sz w:val="32"/>
          <w:szCs w:val="32"/>
        </w:rPr>
        <w:t>）卫生健康支出（类）行政事业单位医疗（款）事业单位医疗（项）</w:t>
      </w:r>
      <w:r>
        <w:rPr>
          <w:rFonts w:ascii="Times New Roman" w:hAnsi="Times New Roman" w:eastAsia="仿宋" w:cs="Times New Roman"/>
          <w:bCs/>
          <w:color w:val="000000"/>
          <w:sz w:val="32"/>
          <w:szCs w:val="32"/>
        </w:rPr>
        <w:t>3.58</w:t>
      </w:r>
      <w:r>
        <w:rPr>
          <w:rFonts w:ascii="Times New Roman" w:hAnsi="仿宋" w:eastAsia="仿宋" w:cs="Times New Roman"/>
          <w:bCs/>
          <w:color w:val="000000"/>
          <w:sz w:val="32"/>
          <w:szCs w:val="32"/>
        </w:rPr>
        <w:t>万元，</w:t>
      </w:r>
      <w:r>
        <w:rPr>
          <w:rFonts w:ascii="Times New Roman" w:hAnsi="Times New Roman" w:eastAsia="仿宋_GB2312" w:cs="Times New Roman"/>
          <w:bCs/>
          <w:color w:val="000000"/>
          <w:sz w:val="32"/>
          <w:szCs w:val="32"/>
        </w:rPr>
        <w:t>主要用于</w:t>
      </w:r>
      <w:r>
        <w:rPr>
          <w:rFonts w:hint="eastAsia" w:ascii="Times New Roman" w:hAnsi="Times New Roman" w:eastAsia="仿宋_GB2312" w:cs="Times New Roman"/>
          <w:bCs/>
          <w:color w:val="000000"/>
          <w:sz w:val="32"/>
          <w:szCs w:val="32"/>
        </w:rPr>
        <w:t>由单位缴纳的医疗保险费用支出</w:t>
      </w:r>
      <w:r>
        <w:rPr>
          <w:rFonts w:ascii="Times New Roman" w:hAnsi="Times New Roman" w:eastAsia="仿宋_GB2312" w:cs="Times New Roman"/>
          <w:bCs/>
          <w:color w:val="000000"/>
          <w:sz w:val="32"/>
          <w:szCs w:val="32"/>
        </w:rPr>
        <w:t>。</w:t>
      </w:r>
    </w:p>
    <w:p>
      <w:pPr>
        <w:spacing w:line="640" w:lineRule="exact"/>
        <w:ind w:firstLine="640" w:firstLineChars="200"/>
        <w:rPr>
          <w:rFonts w:ascii="Times New Roman" w:hAnsi="Times New Roman" w:eastAsia="仿宋_GB2312" w:cs="Times New Roman"/>
          <w:bCs/>
          <w:color w:val="000000"/>
          <w:sz w:val="32"/>
          <w:szCs w:val="32"/>
        </w:rPr>
      </w:pPr>
      <w:r>
        <w:rPr>
          <w:rFonts w:ascii="Times New Roman" w:hAnsi="仿宋" w:eastAsia="仿宋" w:cs="Times New Roman"/>
          <w:bCs/>
          <w:color w:val="000000"/>
          <w:sz w:val="32"/>
          <w:szCs w:val="32"/>
        </w:rPr>
        <w:t>（</w:t>
      </w:r>
      <w:r>
        <w:rPr>
          <w:rFonts w:ascii="Times New Roman" w:hAnsi="Times New Roman" w:eastAsia="仿宋" w:cs="Times New Roman"/>
          <w:bCs/>
          <w:color w:val="000000"/>
          <w:sz w:val="32"/>
          <w:szCs w:val="32"/>
        </w:rPr>
        <w:t>7</w:t>
      </w:r>
      <w:r>
        <w:rPr>
          <w:rFonts w:ascii="Times New Roman" w:hAnsi="仿宋" w:eastAsia="仿宋" w:cs="Times New Roman"/>
          <w:bCs/>
          <w:color w:val="000000"/>
          <w:sz w:val="32"/>
          <w:szCs w:val="32"/>
        </w:rPr>
        <w:t>）住房保障支出（类）住房改革支出（款）住房公积金（项）</w:t>
      </w:r>
      <w:r>
        <w:rPr>
          <w:rFonts w:ascii="Times New Roman" w:hAnsi="Times New Roman" w:eastAsia="仿宋" w:cs="Times New Roman"/>
          <w:bCs/>
          <w:color w:val="000000"/>
          <w:sz w:val="32"/>
          <w:szCs w:val="32"/>
        </w:rPr>
        <w:t>12.23</w:t>
      </w:r>
      <w:r>
        <w:rPr>
          <w:rFonts w:ascii="Times New Roman" w:hAnsi="仿宋" w:eastAsia="仿宋" w:cs="Times New Roman"/>
          <w:bCs/>
          <w:color w:val="000000"/>
          <w:sz w:val="32"/>
          <w:szCs w:val="32"/>
        </w:rPr>
        <w:t>万元，</w:t>
      </w:r>
      <w:r>
        <w:rPr>
          <w:rFonts w:ascii="Times New Roman" w:hAnsi="Times New Roman" w:eastAsia="仿宋_GB2312" w:cs="Times New Roman"/>
          <w:bCs/>
          <w:color w:val="000000"/>
          <w:sz w:val="32"/>
          <w:szCs w:val="32"/>
        </w:rPr>
        <w:t>主要用于</w:t>
      </w:r>
      <w:r>
        <w:rPr>
          <w:rFonts w:hint="eastAsia" w:ascii="Times New Roman" w:hAnsi="Times New Roman" w:eastAsia="仿宋_GB2312" w:cs="Times New Roman"/>
          <w:bCs/>
          <w:color w:val="000000"/>
          <w:sz w:val="32"/>
          <w:szCs w:val="32"/>
        </w:rPr>
        <w:t>由单位缴纳的住房公积金费用支出</w:t>
      </w:r>
      <w:r>
        <w:rPr>
          <w:rFonts w:ascii="Times New Roman" w:hAnsi="Times New Roman" w:eastAsia="仿宋_GB2312" w:cs="Times New Roman"/>
          <w:bCs/>
          <w:color w:val="000000"/>
          <w:sz w:val="32"/>
          <w:szCs w:val="32"/>
        </w:rPr>
        <w:t>。</w:t>
      </w:r>
    </w:p>
    <w:p>
      <w:pPr>
        <w:spacing w:line="560" w:lineRule="exact"/>
        <w:ind w:firstLine="643" w:firstLineChars="200"/>
        <w:rPr>
          <w:rFonts w:ascii="楷体" w:hAnsi="楷体" w:eastAsia="楷体" w:cs="Times New Roman"/>
          <w:b/>
          <w:color w:val="000000"/>
          <w:sz w:val="32"/>
          <w:szCs w:val="32"/>
        </w:rPr>
      </w:pPr>
      <w:r>
        <w:rPr>
          <w:rFonts w:ascii="楷体" w:hAnsi="楷体" w:eastAsia="楷体" w:cs="Times New Roman"/>
          <w:b/>
          <w:color w:val="000000"/>
          <w:sz w:val="32"/>
          <w:szCs w:val="32"/>
        </w:rPr>
        <w:t>（六）关于金华市</w:t>
      </w:r>
      <w:r>
        <w:rPr>
          <w:rFonts w:hint="eastAsia" w:ascii="楷体" w:hAnsi="楷体" w:eastAsia="楷体" w:cs="Times New Roman"/>
          <w:b/>
          <w:color w:val="000000"/>
          <w:sz w:val="32"/>
          <w:szCs w:val="32"/>
        </w:rPr>
        <w:t>“</w:t>
      </w:r>
      <w:r>
        <w:rPr>
          <w:rFonts w:ascii="楷体" w:hAnsi="楷体" w:eastAsia="楷体" w:cs="Times New Roman"/>
          <w:b/>
          <w:color w:val="000000"/>
          <w:sz w:val="32"/>
          <w:szCs w:val="32"/>
        </w:rPr>
        <w:t>一带一路</w:t>
      </w:r>
      <w:r>
        <w:rPr>
          <w:rFonts w:hint="eastAsia" w:ascii="楷体" w:hAnsi="楷体" w:eastAsia="楷体" w:cs="Times New Roman"/>
          <w:b/>
          <w:color w:val="000000"/>
          <w:sz w:val="32"/>
          <w:szCs w:val="32"/>
        </w:rPr>
        <w:t>”</w:t>
      </w:r>
      <w:r>
        <w:rPr>
          <w:rFonts w:ascii="楷体" w:hAnsi="楷体" w:eastAsia="楷体" w:cs="Times New Roman"/>
          <w:b/>
          <w:color w:val="000000"/>
          <w:sz w:val="32"/>
          <w:szCs w:val="32"/>
        </w:rPr>
        <w:t>贸易投资促进中心</w:t>
      </w:r>
      <w:r>
        <w:rPr>
          <w:rFonts w:ascii="楷体" w:hAnsi="楷体" w:eastAsia="楷体" w:cs="Times New Roman"/>
          <w:b/>
          <w:bCs/>
          <w:color w:val="000000"/>
          <w:sz w:val="32"/>
          <w:szCs w:val="32"/>
        </w:rPr>
        <w:t>2021年</w:t>
      </w:r>
      <w:r>
        <w:rPr>
          <w:rFonts w:ascii="楷体" w:hAnsi="楷体" w:eastAsia="楷体" w:cs="Times New Roman"/>
          <w:b/>
          <w:color w:val="000000"/>
          <w:sz w:val="32"/>
          <w:szCs w:val="32"/>
        </w:rPr>
        <w:t>一般公共预算基本支出情况说明</w:t>
      </w:r>
    </w:p>
    <w:p>
      <w:pPr>
        <w:spacing w:line="56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金华市</w:t>
      </w:r>
      <w:r>
        <w:rPr>
          <w:rFonts w:hint="eastAsia" w:ascii="Times New Roman" w:hAnsi="仿宋" w:eastAsia="仿宋" w:cs="Times New Roman"/>
          <w:color w:val="000000"/>
          <w:sz w:val="32"/>
          <w:szCs w:val="32"/>
        </w:rPr>
        <w:t>“</w:t>
      </w:r>
      <w:r>
        <w:rPr>
          <w:rFonts w:ascii="Times New Roman" w:hAnsi="仿宋" w:eastAsia="仿宋" w:cs="Times New Roman"/>
          <w:color w:val="000000"/>
          <w:sz w:val="32"/>
          <w:szCs w:val="32"/>
        </w:rPr>
        <w:t>一带一路”贸易投资促进中心</w:t>
      </w:r>
      <w:r>
        <w:rPr>
          <w:rFonts w:ascii="Times New Roman" w:hAnsi="Times New Roman" w:eastAsia="仿宋" w:cs="Times New Roman"/>
          <w:color w:val="000000"/>
          <w:sz w:val="32"/>
          <w:szCs w:val="32"/>
        </w:rPr>
        <w:t>2021</w:t>
      </w:r>
      <w:r>
        <w:rPr>
          <w:rFonts w:ascii="Times New Roman" w:hAnsi="仿宋" w:eastAsia="仿宋" w:cs="Times New Roman"/>
          <w:color w:val="000000"/>
          <w:sz w:val="32"/>
          <w:szCs w:val="32"/>
        </w:rPr>
        <w:t>年一般公共预算基本支出</w:t>
      </w:r>
      <w:r>
        <w:rPr>
          <w:rFonts w:ascii="Times New Roman" w:hAnsi="Times New Roman" w:eastAsia="仿宋" w:cs="Times New Roman"/>
          <w:color w:val="000000"/>
          <w:sz w:val="32"/>
          <w:szCs w:val="32"/>
        </w:rPr>
        <w:t>109.51</w:t>
      </w:r>
      <w:r>
        <w:rPr>
          <w:rFonts w:ascii="Times New Roman" w:hAnsi="仿宋" w:eastAsia="仿宋" w:cs="Times New Roman"/>
          <w:color w:val="000000"/>
          <w:sz w:val="32"/>
          <w:szCs w:val="32"/>
        </w:rPr>
        <w:t>万元，其中：</w:t>
      </w:r>
    </w:p>
    <w:p>
      <w:pPr>
        <w:spacing w:line="56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人员经费</w:t>
      </w:r>
      <w:r>
        <w:rPr>
          <w:rFonts w:ascii="Times New Roman" w:hAnsi="Times New Roman" w:eastAsia="仿宋" w:cs="Times New Roman"/>
          <w:color w:val="000000"/>
          <w:sz w:val="32"/>
          <w:szCs w:val="32"/>
        </w:rPr>
        <w:t>97.06</w:t>
      </w:r>
      <w:r>
        <w:rPr>
          <w:rFonts w:ascii="Times New Roman" w:hAnsi="仿宋" w:eastAsia="仿宋" w:cs="Times New Roman"/>
          <w:color w:val="000000"/>
          <w:sz w:val="32"/>
          <w:szCs w:val="32"/>
        </w:rPr>
        <w:t>万元，主要包括：基本工资、津贴补贴、奖金、绩效工资、机关事业单位基本养老保险缴费、职业年金缴费、职工基本医疗保险缴费、公务员医疗补助缴费、其他社会保障缴费、住房公积金、其他工资福利支出。</w:t>
      </w:r>
    </w:p>
    <w:p>
      <w:pPr>
        <w:spacing w:line="560" w:lineRule="exact"/>
        <w:ind w:firstLine="640" w:firstLineChars="200"/>
        <w:rPr>
          <w:rFonts w:ascii="Times New Roman" w:hAnsi="Times New Roman" w:eastAsia="仿宋" w:cs="Times New Roman"/>
          <w:color w:val="000000"/>
          <w:sz w:val="32"/>
          <w:szCs w:val="32"/>
          <w:shd w:val="pct10" w:color="auto" w:fill="FFFFFF"/>
        </w:rPr>
      </w:pPr>
      <w:r>
        <w:rPr>
          <w:rFonts w:ascii="Times New Roman" w:hAnsi="仿宋" w:eastAsia="仿宋" w:cs="Times New Roman"/>
          <w:color w:val="000000"/>
          <w:sz w:val="32"/>
          <w:szCs w:val="32"/>
        </w:rPr>
        <w:t>公用经费</w:t>
      </w:r>
      <w:r>
        <w:rPr>
          <w:rFonts w:ascii="Times New Roman" w:hAnsi="Times New Roman" w:eastAsia="仿宋" w:cs="Times New Roman"/>
          <w:color w:val="000000"/>
          <w:sz w:val="32"/>
          <w:szCs w:val="32"/>
        </w:rPr>
        <w:t>12.45</w:t>
      </w:r>
      <w:r>
        <w:rPr>
          <w:rFonts w:ascii="Times New Roman" w:hAnsi="仿宋" w:eastAsia="仿宋" w:cs="Times New Roman"/>
          <w:color w:val="000000"/>
          <w:sz w:val="32"/>
          <w:szCs w:val="32"/>
        </w:rPr>
        <w:t>万元，主要包括：其他社会保障缴费、办公费、差旅费、培训费、公务接待费、工会经费、福利费、其他商品和服务支出。</w:t>
      </w:r>
    </w:p>
    <w:p>
      <w:pPr>
        <w:spacing w:line="560" w:lineRule="exact"/>
        <w:ind w:firstLine="643" w:firstLineChars="200"/>
        <w:rPr>
          <w:rFonts w:ascii="楷体" w:hAnsi="楷体" w:eastAsia="楷体" w:cs="Times New Roman"/>
          <w:b/>
          <w:color w:val="000000"/>
          <w:sz w:val="32"/>
          <w:szCs w:val="32"/>
        </w:rPr>
      </w:pPr>
      <w:r>
        <w:rPr>
          <w:rFonts w:ascii="楷体" w:hAnsi="楷体" w:eastAsia="楷体" w:cs="Times New Roman"/>
          <w:b/>
          <w:color w:val="000000"/>
          <w:sz w:val="32"/>
          <w:szCs w:val="32"/>
        </w:rPr>
        <w:t>（七）关于金华市</w:t>
      </w:r>
      <w:r>
        <w:rPr>
          <w:rFonts w:hint="eastAsia" w:ascii="楷体" w:hAnsi="楷体" w:eastAsia="楷体" w:cs="Times New Roman"/>
          <w:b/>
          <w:color w:val="000000"/>
          <w:sz w:val="32"/>
          <w:szCs w:val="32"/>
        </w:rPr>
        <w:t>“</w:t>
      </w:r>
      <w:r>
        <w:rPr>
          <w:rFonts w:ascii="楷体" w:hAnsi="楷体" w:eastAsia="楷体" w:cs="Times New Roman"/>
          <w:b/>
          <w:color w:val="000000"/>
          <w:sz w:val="32"/>
          <w:szCs w:val="32"/>
        </w:rPr>
        <w:t>一带一路”贸易投资促进中心</w:t>
      </w:r>
      <w:r>
        <w:rPr>
          <w:rFonts w:ascii="楷体" w:hAnsi="楷体" w:eastAsia="楷体" w:cs="Times New Roman"/>
          <w:b/>
          <w:bCs/>
          <w:color w:val="000000"/>
          <w:sz w:val="32"/>
          <w:szCs w:val="32"/>
        </w:rPr>
        <w:t>2021年</w:t>
      </w:r>
      <w:r>
        <w:rPr>
          <w:rFonts w:ascii="楷体" w:hAnsi="楷体" w:eastAsia="楷体" w:cs="Times New Roman"/>
          <w:b/>
          <w:color w:val="000000"/>
          <w:sz w:val="32"/>
          <w:szCs w:val="32"/>
        </w:rPr>
        <w:t>政府性基金预算支出情况说明</w:t>
      </w:r>
    </w:p>
    <w:p>
      <w:pPr>
        <w:spacing w:line="56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金华市</w:t>
      </w:r>
      <w:r>
        <w:rPr>
          <w:rFonts w:hint="eastAsia" w:ascii="Times New Roman" w:hAnsi="仿宋" w:eastAsia="仿宋" w:cs="Times New Roman"/>
          <w:color w:val="000000"/>
          <w:sz w:val="32"/>
          <w:szCs w:val="32"/>
        </w:rPr>
        <w:t>“</w:t>
      </w:r>
      <w:r>
        <w:rPr>
          <w:rFonts w:ascii="Times New Roman" w:hAnsi="仿宋" w:eastAsia="仿宋" w:cs="Times New Roman"/>
          <w:color w:val="000000"/>
          <w:sz w:val="32"/>
          <w:szCs w:val="32"/>
        </w:rPr>
        <w:t>一带一路”贸易投资促进中心</w:t>
      </w:r>
      <w:r>
        <w:rPr>
          <w:rFonts w:ascii="Times New Roman" w:hAnsi="Times New Roman" w:eastAsia="仿宋" w:cs="Times New Roman"/>
          <w:color w:val="000000"/>
          <w:sz w:val="32"/>
          <w:szCs w:val="32"/>
        </w:rPr>
        <w:t>2021</w:t>
      </w:r>
      <w:r>
        <w:rPr>
          <w:rFonts w:ascii="Times New Roman" w:hAnsi="仿宋" w:eastAsia="仿宋" w:cs="Times New Roman"/>
          <w:color w:val="000000"/>
          <w:sz w:val="32"/>
          <w:szCs w:val="32"/>
        </w:rPr>
        <w:t>年没有使用政府性基金预算拨款安排的支出。</w:t>
      </w:r>
    </w:p>
    <w:p>
      <w:pPr>
        <w:spacing w:line="560" w:lineRule="exact"/>
        <w:ind w:firstLine="643" w:firstLineChars="200"/>
        <w:rPr>
          <w:rFonts w:ascii="楷体" w:hAnsi="楷体" w:eastAsia="楷体" w:cs="Times New Roman"/>
          <w:b/>
          <w:color w:val="000000"/>
          <w:sz w:val="32"/>
          <w:szCs w:val="32"/>
        </w:rPr>
      </w:pPr>
      <w:r>
        <w:rPr>
          <w:rFonts w:ascii="楷体" w:hAnsi="楷体" w:eastAsia="楷体" w:cs="Times New Roman"/>
          <w:b/>
          <w:color w:val="000000"/>
          <w:sz w:val="32"/>
          <w:szCs w:val="32"/>
        </w:rPr>
        <w:t>（八）关于金华市</w:t>
      </w:r>
      <w:r>
        <w:rPr>
          <w:rFonts w:hint="eastAsia" w:ascii="楷体" w:hAnsi="楷体" w:eastAsia="楷体" w:cs="Times New Roman"/>
          <w:b/>
          <w:color w:val="000000"/>
          <w:sz w:val="32"/>
          <w:szCs w:val="32"/>
        </w:rPr>
        <w:t>“</w:t>
      </w:r>
      <w:r>
        <w:rPr>
          <w:rFonts w:ascii="楷体" w:hAnsi="楷体" w:eastAsia="楷体" w:cs="Times New Roman"/>
          <w:b/>
          <w:color w:val="000000"/>
          <w:sz w:val="32"/>
          <w:szCs w:val="32"/>
        </w:rPr>
        <w:t>一带一路”贸易投资促进中心</w:t>
      </w:r>
      <w:r>
        <w:rPr>
          <w:rFonts w:ascii="楷体" w:hAnsi="楷体" w:eastAsia="楷体" w:cs="Times New Roman"/>
          <w:b/>
          <w:bCs/>
          <w:color w:val="000000"/>
          <w:sz w:val="32"/>
          <w:szCs w:val="32"/>
        </w:rPr>
        <w:t>2021年</w:t>
      </w:r>
      <w:r>
        <w:rPr>
          <w:rFonts w:ascii="楷体" w:hAnsi="楷体" w:eastAsia="楷体" w:cs="Times New Roman"/>
          <w:b/>
          <w:color w:val="000000"/>
          <w:sz w:val="32"/>
          <w:szCs w:val="32"/>
        </w:rPr>
        <w:t>一般公共预算“三公”经费预算情况说明</w:t>
      </w:r>
    </w:p>
    <w:p>
      <w:pPr>
        <w:spacing w:line="56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金华市</w:t>
      </w:r>
      <w:r>
        <w:rPr>
          <w:rFonts w:hint="eastAsia" w:ascii="Times New Roman" w:hAnsi="仿宋" w:eastAsia="仿宋" w:cs="Times New Roman"/>
          <w:color w:val="000000"/>
          <w:sz w:val="32"/>
          <w:szCs w:val="32"/>
        </w:rPr>
        <w:t>“</w:t>
      </w:r>
      <w:r>
        <w:rPr>
          <w:rFonts w:ascii="Times New Roman" w:hAnsi="仿宋" w:eastAsia="仿宋" w:cs="Times New Roman"/>
          <w:sz w:val="32"/>
          <w:szCs w:val="32"/>
        </w:rPr>
        <w:t>一带一路”贸易投资促进中心</w:t>
      </w:r>
      <w:r>
        <w:rPr>
          <w:rFonts w:ascii="Times New Roman" w:hAnsi="Times New Roman" w:eastAsia="仿宋" w:cs="Times New Roman"/>
          <w:sz w:val="32"/>
          <w:szCs w:val="32"/>
        </w:rPr>
        <w:t>2021</w:t>
      </w:r>
      <w:r>
        <w:rPr>
          <w:rFonts w:ascii="Times New Roman" w:hAnsi="仿宋" w:eastAsia="仿宋" w:cs="Times New Roman"/>
          <w:sz w:val="32"/>
          <w:szCs w:val="32"/>
        </w:rPr>
        <w:t>年</w:t>
      </w:r>
      <w:r>
        <w:rPr>
          <w:rFonts w:ascii="Times New Roman" w:hAnsi="Times New Roman" w:eastAsia="仿宋" w:cs="Times New Roman"/>
          <w:sz w:val="32"/>
          <w:szCs w:val="32"/>
        </w:rPr>
        <w:t>“</w:t>
      </w:r>
      <w:r>
        <w:rPr>
          <w:rFonts w:ascii="Times New Roman" w:hAnsi="仿宋" w:eastAsia="仿宋" w:cs="Times New Roman"/>
          <w:sz w:val="32"/>
          <w:szCs w:val="32"/>
        </w:rPr>
        <w:t>三公</w:t>
      </w:r>
      <w:r>
        <w:rPr>
          <w:rFonts w:ascii="Times New Roman" w:hAnsi="Times New Roman" w:eastAsia="仿宋" w:cs="Times New Roman"/>
          <w:sz w:val="32"/>
          <w:szCs w:val="32"/>
        </w:rPr>
        <w:t>”</w:t>
      </w:r>
      <w:r>
        <w:rPr>
          <w:rFonts w:ascii="Times New Roman" w:hAnsi="仿宋" w:eastAsia="仿宋" w:cs="Times New Roman"/>
          <w:sz w:val="32"/>
          <w:szCs w:val="32"/>
        </w:rPr>
        <w:t>经费预算数为</w:t>
      </w:r>
      <w:r>
        <w:rPr>
          <w:rFonts w:ascii="Times New Roman" w:hAnsi="Times New Roman" w:eastAsia="仿宋" w:cs="Times New Roman"/>
          <w:color w:val="000000"/>
          <w:sz w:val="32"/>
          <w:szCs w:val="32"/>
        </w:rPr>
        <w:t>1.5</w:t>
      </w:r>
      <w:r>
        <w:rPr>
          <w:rFonts w:ascii="Times New Roman" w:hAnsi="仿宋" w:eastAsia="仿宋" w:cs="Times New Roman"/>
          <w:sz w:val="32"/>
          <w:szCs w:val="32"/>
        </w:rPr>
        <w:t>万元，</w:t>
      </w:r>
      <w:r>
        <w:rPr>
          <w:rFonts w:ascii="Times New Roman" w:hAnsi="仿宋" w:eastAsia="仿宋" w:cs="Times New Roman"/>
          <w:sz w:val="32"/>
          <w:szCs w:val="32"/>
          <w:shd w:val="clear" w:color="auto" w:fill="FFFFFF"/>
        </w:rPr>
        <w:t>比</w:t>
      </w:r>
      <w:r>
        <w:rPr>
          <w:rFonts w:ascii="Times New Roman" w:hAnsi="Times New Roman" w:eastAsia="仿宋" w:cs="Times New Roman"/>
          <w:sz w:val="32"/>
          <w:szCs w:val="32"/>
          <w:shd w:val="clear" w:color="auto" w:fill="FFFFFF"/>
        </w:rPr>
        <w:t>2020</w:t>
      </w:r>
      <w:r>
        <w:rPr>
          <w:rFonts w:ascii="Times New Roman" w:hAnsi="仿宋" w:eastAsia="仿宋" w:cs="Times New Roman"/>
          <w:sz w:val="32"/>
          <w:szCs w:val="32"/>
          <w:shd w:val="clear" w:color="auto" w:fill="FFFFFF"/>
        </w:rPr>
        <w:t>年执行数增加</w:t>
      </w:r>
      <w:r>
        <w:rPr>
          <w:rFonts w:ascii="Times New Roman" w:hAnsi="Times New Roman" w:eastAsia="仿宋" w:cs="Times New Roman"/>
          <w:sz w:val="32"/>
          <w:szCs w:val="32"/>
          <w:shd w:val="clear" w:color="auto" w:fill="FFFFFF"/>
        </w:rPr>
        <w:t>1.5</w:t>
      </w:r>
      <w:r>
        <w:rPr>
          <w:rFonts w:ascii="Times New Roman" w:hAnsi="仿宋" w:eastAsia="仿宋" w:cs="Times New Roman"/>
          <w:sz w:val="32"/>
          <w:szCs w:val="32"/>
          <w:shd w:val="clear" w:color="auto" w:fill="FFFFFF"/>
        </w:rPr>
        <w:t>万元，增长</w:t>
      </w:r>
      <w:r>
        <w:rPr>
          <w:rFonts w:ascii="Times New Roman" w:hAnsi="Times New Roman" w:eastAsia="仿宋" w:cs="Times New Roman"/>
          <w:sz w:val="32"/>
          <w:szCs w:val="32"/>
          <w:shd w:val="clear" w:color="auto" w:fill="FFFFFF"/>
        </w:rPr>
        <w:t>100%</w:t>
      </w:r>
      <w:r>
        <w:rPr>
          <w:rFonts w:ascii="Times New Roman" w:hAnsi="仿宋" w:eastAsia="仿宋" w:cs="Times New Roman"/>
          <w:sz w:val="32"/>
          <w:szCs w:val="32"/>
        </w:rPr>
        <w:t>，具体如下：</w:t>
      </w:r>
    </w:p>
    <w:p>
      <w:pPr>
        <w:spacing w:line="560" w:lineRule="exact"/>
        <w:ind w:firstLine="643" w:firstLineChars="200"/>
        <w:rPr>
          <w:rFonts w:ascii="Times New Roman" w:hAnsi="Times New Roman" w:eastAsia="仿宋" w:cs="Times New Roman"/>
          <w:color w:val="FF0000"/>
          <w:sz w:val="32"/>
          <w:szCs w:val="32"/>
        </w:rPr>
      </w:pPr>
      <w:r>
        <w:rPr>
          <w:rFonts w:ascii="Times New Roman" w:hAnsi="Times New Roman" w:eastAsia="仿宋" w:cs="Times New Roman"/>
          <w:b/>
          <w:kern w:val="0"/>
          <w:sz w:val="32"/>
          <w:szCs w:val="32"/>
        </w:rPr>
        <w:t>1.</w:t>
      </w:r>
      <w:r>
        <w:rPr>
          <w:rFonts w:ascii="Times New Roman" w:hAnsi="仿宋" w:eastAsia="仿宋" w:cs="Times New Roman"/>
          <w:b/>
          <w:kern w:val="0"/>
          <w:sz w:val="32"/>
          <w:szCs w:val="32"/>
        </w:rPr>
        <w:t>因公出国（境）费用：</w:t>
      </w:r>
      <w:r>
        <w:rPr>
          <w:rFonts w:ascii="Times New Roman" w:hAnsi="Times New Roman" w:eastAsia="仿宋" w:cs="Times New Roman"/>
          <w:color w:val="000000"/>
          <w:sz w:val="32"/>
          <w:szCs w:val="32"/>
        </w:rPr>
        <w:t>2021</w:t>
      </w:r>
      <w:r>
        <w:rPr>
          <w:rFonts w:ascii="Times New Roman" w:hAnsi="仿宋" w:eastAsia="仿宋" w:cs="Times New Roman"/>
          <w:color w:val="000000"/>
          <w:sz w:val="32"/>
          <w:szCs w:val="32"/>
        </w:rPr>
        <w:t>年单位预算未安排</w:t>
      </w:r>
      <w:r>
        <w:rPr>
          <w:rFonts w:ascii="Times New Roman" w:hAnsi="仿宋" w:eastAsia="仿宋" w:cs="Times New Roman"/>
          <w:color w:val="000000"/>
          <w:kern w:val="0"/>
          <w:sz w:val="32"/>
          <w:szCs w:val="32"/>
        </w:rPr>
        <w:t>因公出国（境）费用，比上年执行数下降</w:t>
      </w:r>
      <w:r>
        <w:rPr>
          <w:rFonts w:ascii="Times New Roman" w:hAnsi="Times New Roman" w:eastAsia="仿宋" w:cs="Times New Roman"/>
          <w:color w:val="000000"/>
          <w:kern w:val="0"/>
          <w:sz w:val="32"/>
          <w:szCs w:val="32"/>
        </w:rPr>
        <w:t>100%</w:t>
      </w:r>
      <w:r>
        <w:rPr>
          <w:rFonts w:ascii="Times New Roman" w:hAnsi="仿宋" w:eastAsia="仿宋" w:cs="Times New Roman"/>
          <w:color w:val="000000"/>
          <w:kern w:val="0"/>
          <w:sz w:val="32"/>
          <w:szCs w:val="32"/>
        </w:rPr>
        <w:t>，年中将根据</w:t>
      </w:r>
      <w:r>
        <w:rPr>
          <w:rFonts w:ascii="Times New Roman" w:hAnsi="仿宋" w:eastAsia="仿宋" w:cs="Times New Roman"/>
          <w:color w:val="000000"/>
          <w:sz w:val="32"/>
          <w:szCs w:val="32"/>
        </w:rPr>
        <w:t>市外事侨务办安排的因公出国计划和实际工作需要追加指标。</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kern w:val="0"/>
          <w:sz w:val="32"/>
          <w:szCs w:val="32"/>
        </w:rPr>
        <w:t>2.</w:t>
      </w:r>
      <w:r>
        <w:rPr>
          <w:rFonts w:ascii="Times New Roman" w:hAnsi="仿宋" w:eastAsia="仿宋" w:cs="Times New Roman"/>
          <w:b/>
          <w:kern w:val="0"/>
          <w:sz w:val="32"/>
          <w:szCs w:val="32"/>
        </w:rPr>
        <w:t>公务接待费：</w:t>
      </w:r>
      <w:r>
        <w:rPr>
          <w:rFonts w:ascii="Times New Roman" w:hAnsi="Times New Roman" w:eastAsia="仿宋" w:cs="Times New Roman"/>
          <w:sz w:val="32"/>
          <w:szCs w:val="32"/>
        </w:rPr>
        <w:t>2021</w:t>
      </w:r>
      <w:r>
        <w:rPr>
          <w:rFonts w:ascii="Times New Roman" w:hAnsi="仿宋" w:eastAsia="仿宋" w:cs="Times New Roman"/>
          <w:sz w:val="32"/>
          <w:szCs w:val="32"/>
        </w:rPr>
        <w:t>年安排公务接待费预算</w:t>
      </w:r>
      <w:r>
        <w:rPr>
          <w:rFonts w:ascii="Times New Roman" w:hAnsi="Times New Roman" w:eastAsia="仿宋" w:cs="Times New Roman"/>
          <w:color w:val="000000"/>
          <w:sz w:val="32"/>
          <w:szCs w:val="32"/>
        </w:rPr>
        <w:t>1.5</w:t>
      </w:r>
      <w:r>
        <w:rPr>
          <w:rFonts w:ascii="Times New Roman" w:hAnsi="仿宋" w:eastAsia="仿宋" w:cs="Times New Roman"/>
          <w:sz w:val="32"/>
          <w:szCs w:val="32"/>
        </w:rPr>
        <w:t>万元，比上年执行数增长</w:t>
      </w:r>
      <w:r>
        <w:rPr>
          <w:rFonts w:ascii="Times New Roman" w:hAnsi="Times New Roman" w:eastAsia="仿宋" w:cs="Times New Roman"/>
          <w:sz w:val="32"/>
          <w:szCs w:val="32"/>
        </w:rPr>
        <w:t>100%</w:t>
      </w:r>
      <w:r>
        <w:rPr>
          <w:rFonts w:ascii="Times New Roman" w:hAnsi="仿宋" w:eastAsia="仿宋" w:cs="Times New Roman"/>
          <w:sz w:val="32"/>
          <w:szCs w:val="32"/>
        </w:rPr>
        <w:t>。主要用于接待因公务需要来访的内宾或外宾等费用的支出。增加的主要原因是疫情好转，各项活动正常开展。</w:t>
      </w:r>
    </w:p>
    <w:p>
      <w:pPr>
        <w:pStyle w:val="11"/>
        <w:widowControl w:val="0"/>
        <w:spacing w:line="560" w:lineRule="exact"/>
        <w:ind w:firstLine="643" w:firstLineChars="200"/>
        <w:rPr>
          <w:rFonts w:eastAsia="仿宋"/>
          <w:b/>
          <w:bCs/>
          <w:sz w:val="32"/>
          <w:szCs w:val="32"/>
        </w:rPr>
      </w:pPr>
      <w:r>
        <w:rPr>
          <w:rFonts w:eastAsia="仿宋"/>
          <w:b/>
          <w:sz w:val="32"/>
          <w:szCs w:val="32"/>
        </w:rPr>
        <w:t>3.</w:t>
      </w:r>
      <w:r>
        <w:rPr>
          <w:rFonts w:hAnsi="仿宋" w:eastAsia="仿宋"/>
          <w:b/>
          <w:sz w:val="32"/>
          <w:szCs w:val="32"/>
        </w:rPr>
        <w:t>公务用车购置及运行维护费：</w:t>
      </w:r>
      <w:r>
        <w:rPr>
          <w:rFonts w:eastAsia="仿宋"/>
          <w:sz w:val="32"/>
          <w:szCs w:val="32"/>
        </w:rPr>
        <w:t>2021</w:t>
      </w:r>
      <w:r>
        <w:rPr>
          <w:rFonts w:hAnsi="仿宋" w:eastAsia="仿宋"/>
          <w:sz w:val="32"/>
          <w:szCs w:val="32"/>
        </w:rPr>
        <w:t>年安排公务用车购置及运行维护费预算</w:t>
      </w:r>
      <w:r>
        <w:rPr>
          <w:rFonts w:eastAsia="仿宋"/>
          <w:color w:val="000000"/>
          <w:sz w:val="32"/>
          <w:szCs w:val="32"/>
        </w:rPr>
        <w:t>0</w:t>
      </w:r>
      <w:r>
        <w:rPr>
          <w:rFonts w:hAnsi="仿宋" w:eastAsia="仿宋"/>
          <w:sz w:val="32"/>
          <w:szCs w:val="32"/>
        </w:rPr>
        <w:t>万元，与</w:t>
      </w:r>
      <w:r>
        <w:rPr>
          <w:rFonts w:eastAsia="仿宋"/>
          <w:sz w:val="32"/>
          <w:szCs w:val="32"/>
        </w:rPr>
        <w:t>2020</w:t>
      </w:r>
      <w:r>
        <w:rPr>
          <w:rFonts w:hAnsi="仿宋" w:eastAsia="仿宋"/>
          <w:sz w:val="32"/>
          <w:szCs w:val="32"/>
        </w:rPr>
        <w:t>年执行数持平。</w:t>
      </w:r>
      <w:r>
        <w:rPr>
          <w:rFonts w:hint="eastAsia" w:hAnsi="仿宋" w:eastAsia="仿宋"/>
          <w:sz w:val="32"/>
          <w:szCs w:val="32"/>
        </w:rPr>
        <w:t>费用无增减变动的原因，是因为本单位无公车。</w:t>
      </w:r>
      <w:r>
        <w:rPr>
          <w:rFonts w:hAnsi="仿宋" w:eastAsia="仿宋"/>
          <w:sz w:val="32"/>
          <w:szCs w:val="32"/>
        </w:rPr>
        <w:t>其中，公务用车购置支出</w:t>
      </w:r>
      <w:r>
        <w:rPr>
          <w:rFonts w:eastAsia="仿宋"/>
          <w:color w:val="000000"/>
          <w:sz w:val="32"/>
          <w:szCs w:val="32"/>
        </w:rPr>
        <w:t>0</w:t>
      </w:r>
      <w:r>
        <w:rPr>
          <w:rFonts w:hAnsi="仿宋" w:eastAsia="仿宋"/>
          <w:sz w:val="32"/>
          <w:szCs w:val="32"/>
        </w:rPr>
        <w:t>万元（含购置税等附加费用），主要用于经批准购置的</w:t>
      </w:r>
      <w:r>
        <w:rPr>
          <w:rFonts w:eastAsia="仿宋"/>
          <w:color w:val="000000"/>
          <w:sz w:val="32"/>
          <w:szCs w:val="32"/>
        </w:rPr>
        <w:t>0</w:t>
      </w:r>
      <w:r>
        <w:rPr>
          <w:rFonts w:hAnsi="仿宋" w:eastAsia="仿宋"/>
          <w:sz w:val="32"/>
          <w:szCs w:val="32"/>
        </w:rPr>
        <w:t>辆公务用车；公务用车运行维护费支出</w:t>
      </w:r>
      <w:r>
        <w:rPr>
          <w:rFonts w:eastAsia="仿宋"/>
          <w:color w:val="000000"/>
          <w:sz w:val="32"/>
          <w:szCs w:val="32"/>
        </w:rPr>
        <w:t>0</w:t>
      </w:r>
      <w:r>
        <w:rPr>
          <w:rFonts w:hAnsi="仿宋" w:eastAsia="仿宋"/>
          <w:sz w:val="32"/>
          <w:szCs w:val="32"/>
        </w:rPr>
        <w:t>万元，与</w:t>
      </w:r>
      <w:r>
        <w:rPr>
          <w:rFonts w:eastAsia="仿宋"/>
          <w:sz w:val="32"/>
          <w:szCs w:val="32"/>
        </w:rPr>
        <w:t>2020</w:t>
      </w:r>
      <w:r>
        <w:rPr>
          <w:rFonts w:hAnsi="仿宋" w:eastAsia="仿宋"/>
          <w:sz w:val="32"/>
          <w:szCs w:val="32"/>
        </w:rPr>
        <w:t>年执行数持平。</w:t>
      </w:r>
      <w:r>
        <w:rPr>
          <w:rFonts w:hint="eastAsia" w:hAnsi="仿宋" w:eastAsia="仿宋"/>
          <w:sz w:val="32"/>
          <w:szCs w:val="32"/>
        </w:rPr>
        <w:t>费用无增减变动的原因，是因为本单位无公车。</w:t>
      </w:r>
    </w:p>
    <w:p>
      <w:pPr>
        <w:spacing w:line="56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（九）其他重要事项的情况说明</w:t>
      </w:r>
    </w:p>
    <w:p>
      <w:pPr>
        <w:pStyle w:val="11"/>
        <w:widowControl w:val="0"/>
        <w:spacing w:line="560" w:lineRule="exact"/>
        <w:ind w:firstLine="643" w:firstLineChars="200"/>
        <w:rPr>
          <w:rFonts w:eastAsia="仿宋"/>
          <w:b/>
          <w:bCs/>
          <w:sz w:val="32"/>
          <w:szCs w:val="32"/>
        </w:rPr>
      </w:pPr>
      <w:r>
        <w:rPr>
          <w:rFonts w:hint="eastAsia" w:eastAsia="仿宋"/>
          <w:b/>
          <w:bCs/>
          <w:sz w:val="32"/>
          <w:szCs w:val="32"/>
        </w:rPr>
        <w:t>1</w:t>
      </w:r>
      <w:r>
        <w:rPr>
          <w:rFonts w:eastAsia="仿宋"/>
          <w:b/>
          <w:bCs/>
          <w:sz w:val="32"/>
          <w:szCs w:val="32"/>
        </w:rPr>
        <w:t>.</w:t>
      </w:r>
      <w:r>
        <w:rPr>
          <w:rFonts w:hAnsi="仿宋" w:eastAsia="仿宋"/>
          <w:b/>
          <w:bCs/>
          <w:sz w:val="32"/>
          <w:szCs w:val="32"/>
        </w:rPr>
        <w:t>政府采购情况</w:t>
      </w:r>
    </w:p>
    <w:p>
      <w:pPr>
        <w:pStyle w:val="11"/>
        <w:widowControl w:val="0"/>
        <w:spacing w:line="560" w:lineRule="exact"/>
        <w:ind w:firstLine="640" w:firstLineChars="200"/>
        <w:rPr>
          <w:rFonts w:eastAsia="仿宋"/>
          <w:sz w:val="32"/>
          <w:szCs w:val="32"/>
        </w:rPr>
      </w:pPr>
      <w:r>
        <w:rPr>
          <w:rFonts w:eastAsia="仿宋"/>
          <w:sz w:val="32"/>
          <w:szCs w:val="32"/>
        </w:rPr>
        <w:t>2021</w:t>
      </w:r>
      <w:r>
        <w:rPr>
          <w:rFonts w:hAnsi="仿宋" w:eastAsia="仿宋"/>
          <w:sz w:val="32"/>
          <w:szCs w:val="32"/>
        </w:rPr>
        <w:t>年</w:t>
      </w:r>
      <w:r>
        <w:rPr>
          <w:rFonts w:hAnsi="仿宋" w:eastAsia="仿宋"/>
          <w:color w:val="000000"/>
          <w:sz w:val="32"/>
          <w:szCs w:val="32"/>
        </w:rPr>
        <w:t>金华市</w:t>
      </w:r>
      <w:r>
        <w:rPr>
          <w:rFonts w:hint="eastAsia" w:hAnsi="仿宋" w:eastAsia="仿宋"/>
          <w:color w:val="000000"/>
          <w:sz w:val="32"/>
          <w:szCs w:val="32"/>
        </w:rPr>
        <w:t>“</w:t>
      </w:r>
      <w:r>
        <w:rPr>
          <w:rFonts w:hAnsi="仿宋" w:eastAsia="仿宋"/>
          <w:color w:val="000000"/>
          <w:sz w:val="32"/>
          <w:szCs w:val="32"/>
        </w:rPr>
        <w:t>一带一路”贸易投资促进中心采购预算总额</w:t>
      </w:r>
      <w:r>
        <w:rPr>
          <w:rFonts w:eastAsia="仿宋"/>
          <w:color w:val="000000"/>
          <w:sz w:val="32"/>
          <w:szCs w:val="32"/>
        </w:rPr>
        <w:t>0</w:t>
      </w:r>
      <w:r>
        <w:rPr>
          <w:rFonts w:hAnsi="仿宋" w:eastAsia="仿宋"/>
          <w:color w:val="000000"/>
          <w:sz w:val="32"/>
          <w:szCs w:val="32"/>
        </w:rPr>
        <w:t>万元，其中：政府采购货物预算</w:t>
      </w:r>
      <w:r>
        <w:rPr>
          <w:rFonts w:eastAsia="仿宋"/>
          <w:color w:val="000000"/>
          <w:sz w:val="32"/>
          <w:szCs w:val="32"/>
        </w:rPr>
        <w:t>0</w:t>
      </w:r>
      <w:r>
        <w:rPr>
          <w:rFonts w:hAnsi="仿宋" w:eastAsia="仿宋"/>
          <w:color w:val="000000"/>
          <w:sz w:val="32"/>
          <w:szCs w:val="32"/>
        </w:rPr>
        <w:t>万元、政府采购工程预算</w:t>
      </w:r>
      <w:r>
        <w:rPr>
          <w:rFonts w:eastAsia="仿宋"/>
          <w:color w:val="000000"/>
          <w:sz w:val="32"/>
          <w:szCs w:val="32"/>
        </w:rPr>
        <w:t>0</w:t>
      </w:r>
      <w:r>
        <w:rPr>
          <w:rFonts w:hAnsi="仿宋" w:eastAsia="仿宋"/>
          <w:color w:val="000000"/>
          <w:sz w:val="32"/>
          <w:szCs w:val="32"/>
        </w:rPr>
        <w:t>万元、政府采购服务预算</w:t>
      </w:r>
      <w:r>
        <w:rPr>
          <w:rFonts w:eastAsia="仿宋"/>
          <w:color w:val="000000"/>
          <w:sz w:val="32"/>
          <w:szCs w:val="32"/>
        </w:rPr>
        <w:t>0</w:t>
      </w:r>
      <w:r>
        <w:rPr>
          <w:rFonts w:hAnsi="仿宋" w:eastAsia="仿宋"/>
          <w:color w:val="000000"/>
          <w:sz w:val="32"/>
          <w:szCs w:val="32"/>
        </w:rPr>
        <w:t>万元。</w:t>
      </w:r>
    </w:p>
    <w:p>
      <w:pPr>
        <w:pStyle w:val="11"/>
        <w:widowControl w:val="0"/>
        <w:spacing w:line="560" w:lineRule="exact"/>
        <w:ind w:firstLine="643" w:firstLineChars="200"/>
        <w:rPr>
          <w:rFonts w:eastAsia="仿宋"/>
          <w:sz w:val="32"/>
          <w:szCs w:val="32"/>
        </w:rPr>
      </w:pPr>
      <w:r>
        <w:rPr>
          <w:rFonts w:hint="eastAsia" w:eastAsia="仿宋"/>
          <w:b/>
          <w:bCs/>
          <w:sz w:val="32"/>
          <w:szCs w:val="32"/>
        </w:rPr>
        <w:t>2</w:t>
      </w:r>
      <w:r>
        <w:rPr>
          <w:rFonts w:eastAsia="仿宋"/>
          <w:b/>
          <w:bCs/>
          <w:sz w:val="32"/>
          <w:szCs w:val="32"/>
        </w:rPr>
        <w:t>.</w:t>
      </w:r>
      <w:r>
        <w:rPr>
          <w:rFonts w:hAnsi="仿宋" w:eastAsia="仿宋"/>
          <w:b/>
          <w:bCs/>
          <w:sz w:val="32"/>
          <w:szCs w:val="32"/>
        </w:rPr>
        <w:t>国有资产占有使用情况</w:t>
      </w:r>
    </w:p>
    <w:p>
      <w:pPr>
        <w:spacing w:line="560" w:lineRule="exact"/>
        <w:ind w:firstLine="664" w:firstLineChars="200"/>
        <w:rPr>
          <w:rFonts w:ascii="Times New Roman" w:hAnsi="Times New Roman" w:eastAsia="仿宋" w:cs="Times New Roman"/>
          <w:color w:val="FF0000"/>
          <w:sz w:val="32"/>
          <w:szCs w:val="32"/>
        </w:rPr>
      </w:pPr>
      <w:r>
        <w:rPr>
          <w:rFonts w:ascii="Times New Roman" w:hAnsi="仿宋" w:eastAsia="仿宋" w:cs="Times New Roman"/>
          <w:spacing w:val="6"/>
          <w:sz w:val="32"/>
          <w:szCs w:val="32"/>
        </w:rPr>
        <w:t>截至</w:t>
      </w:r>
      <w:r>
        <w:rPr>
          <w:rFonts w:ascii="Times New Roman" w:hAnsi="Times New Roman" w:eastAsia="仿宋" w:cs="Times New Roman"/>
          <w:spacing w:val="6"/>
          <w:sz w:val="32"/>
          <w:szCs w:val="32"/>
        </w:rPr>
        <w:t>2020</w:t>
      </w:r>
      <w:r>
        <w:rPr>
          <w:rFonts w:ascii="Times New Roman" w:hAnsi="仿宋" w:eastAsia="仿宋" w:cs="Times New Roman"/>
          <w:spacing w:val="6"/>
          <w:sz w:val="32"/>
          <w:szCs w:val="32"/>
        </w:rPr>
        <w:t>年</w:t>
      </w:r>
      <w:r>
        <w:rPr>
          <w:rFonts w:ascii="Times New Roman" w:hAnsi="Times New Roman" w:eastAsia="仿宋" w:cs="Times New Roman"/>
          <w:spacing w:val="6"/>
          <w:sz w:val="32"/>
          <w:szCs w:val="32"/>
        </w:rPr>
        <w:t>12</w:t>
      </w:r>
      <w:r>
        <w:rPr>
          <w:rFonts w:ascii="Times New Roman" w:hAnsi="仿宋" w:eastAsia="仿宋" w:cs="Times New Roman"/>
          <w:spacing w:val="6"/>
          <w:sz w:val="32"/>
          <w:szCs w:val="32"/>
        </w:rPr>
        <w:t>月</w:t>
      </w:r>
      <w:r>
        <w:rPr>
          <w:rFonts w:ascii="Times New Roman" w:hAnsi="Times New Roman" w:eastAsia="仿宋" w:cs="Times New Roman"/>
          <w:spacing w:val="6"/>
          <w:sz w:val="32"/>
          <w:szCs w:val="32"/>
        </w:rPr>
        <w:t>31</w:t>
      </w:r>
      <w:r>
        <w:rPr>
          <w:rFonts w:ascii="Times New Roman" w:hAnsi="仿宋" w:eastAsia="仿宋" w:cs="Times New Roman"/>
          <w:spacing w:val="6"/>
          <w:sz w:val="32"/>
          <w:szCs w:val="32"/>
        </w:rPr>
        <w:t>日，</w:t>
      </w:r>
      <w:r>
        <w:rPr>
          <w:rFonts w:ascii="Times New Roman" w:hAnsi="仿宋" w:eastAsia="仿宋" w:cs="Times New Roman"/>
          <w:color w:val="000000"/>
          <w:sz w:val="32"/>
          <w:szCs w:val="32"/>
        </w:rPr>
        <w:t>金华市</w:t>
      </w:r>
      <w:r>
        <w:rPr>
          <w:rFonts w:hint="eastAsia" w:ascii="Times New Roman" w:hAnsi="仿宋" w:eastAsia="仿宋" w:cs="Times New Roman"/>
          <w:color w:val="000000"/>
          <w:sz w:val="32"/>
          <w:szCs w:val="32"/>
        </w:rPr>
        <w:t>“</w:t>
      </w:r>
      <w:r>
        <w:rPr>
          <w:rFonts w:ascii="Times New Roman" w:hAnsi="仿宋" w:eastAsia="仿宋" w:cs="Times New Roman"/>
          <w:color w:val="000000"/>
          <w:sz w:val="32"/>
          <w:szCs w:val="32"/>
        </w:rPr>
        <w:t>一带一路”贸易投资促进中心</w:t>
      </w:r>
      <w:r>
        <w:rPr>
          <w:rFonts w:ascii="Times New Roman" w:hAnsi="仿宋" w:eastAsia="仿宋" w:cs="Times New Roman"/>
          <w:spacing w:val="6"/>
          <w:sz w:val="32"/>
          <w:szCs w:val="32"/>
        </w:rPr>
        <w:t>共有车辆</w:t>
      </w:r>
      <w:r>
        <w:rPr>
          <w:rFonts w:ascii="Times New Roman" w:hAnsi="Times New Roman" w:eastAsia="仿宋" w:cs="Times New Roman"/>
          <w:sz w:val="32"/>
          <w:szCs w:val="32"/>
        </w:rPr>
        <w:t>0</w:t>
      </w:r>
      <w:r>
        <w:rPr>
          <w:rFonts w:ascii="Times New Roman" w:hAnsi="仿宋" w:eastAsia="仿宋" w:cs="Times New Roman"/>
          <w:sz w:val="32"/>
          <w:szCs w:val="32"/>
        </w:rPr>
        <w:t>辆，其中，</w:t>
      </w:r>
      <w:r>
        <w:rPr>
          <w:rFonts w:ascii="Times New Roman" w:hAnsi="仿宋" w:eastAsia="仿宋" w:cs="Times New Roman"/>
          <w:color w:val="000000"/>
          <w:sz w:val="32"/>
          <w:szCs w:val="32"/>
        </w:rPr>
        <w:t>一般公务用车</w:t>
      </w:r>
      <w:r>
        <w:rPr>
          <w:rFonts w:ascii="Times New Roman" w:hAnsi="Times New Roman" w:eastAsia="仿宋" w:cs="Times New Roman"/>
          <w:color w:val="000000"/>
          <w:sz w:val="32"/>
          <w:szCs w:val="32"/>
        </w:rPr>
        <w:t>0</w:t>
      </w:r>
      <w:r>
        <w:rPr>
          <w:rFonts w:ascii="Times New Roman" w:hAnsi="仿宋" w:eastAsia="仿宋" w:cs="Times New Roman"/>
          <w:color w:val="000000"/>
          <w:sz w:val="32"/>
          <w:szCs w:val="32"/>
        </w:rPr>
        <w:t>辆，执法执勤用车</w:t>
      </w:r>
      <w:r>
        <w:rPr>
          <w:rFonts w:ascii="Times New Roman" w:hAnsi="Times New Roman" w:eastAsia="仿宋" w:cs="Times New Roman"/>
          <w:color w:val="000000"/>
          <w:sz w:val="32"/>
          <w:szCs w:val="32"/>
        </w:rPr>
        <w:t>0</w:t>
      </w:r>
      <w:r>
        <w:rPr>
          <w:rFonts w:ascii="Times New Roman" w:hAnsi="仿宋" w:eastAsia="仿宋" w:cs="Times New Roman"/>
          <w:color w:val="000000"/>
          <w:sz w:val="32"/>
          <w:szCs w:val="32"/>
        </w:rPr>
        <w:t>辆，特种专业技术用车</w:t>
      </w:r>
      <w:r>
        <w:rPr>
          <w:rFonts w:ascii="Times New Roman" w:hAnsi="Times New Roman" w:eastAsia="仿宋" w:cs="Times New Roman"/>
          <w:color w:val="000000"/>
          <w:sz w:val="32"/>
          <w:szCs w:val="32"/>
        </w:rPr>
        <w:t>0</w:t>
      </w:r>
      <w:r>
        <w:rPr>
          <w:rFonts w:ascii="Times New Roman" w:hAnsi="仿宋" w:eastAsia="仿宋" w:cs="Times New Roman"/>
          <w:color w:val="000000"/>
          <w:sz w:val="32"/>
          <w:szCs w:val="32"/>
        </w:rPr>
        <w:t>辆，其他用车</w:t>
      </w:r>
      <w:r>
        <w:rPr>
          <w:rFonts w:ascii="Times New Roman" w:hAnsi="Times New Roman" w:eastAsia="仿宋" w:cs="Times New Roman"/>
          <w:color w:val="000000"/>
          <w:sz w:val="32"/>
          <w:szCs w:val="32"/>
        </w:rPr>
        <w:t>0</w:t>
      </w:r>
      <w:r>
        <w:rPr>
          <w:rFonts w:ascii="Times New Roman" w:hAnsi="仿宋" w:eastAsia="仿宋" w:cs="Times New Roman"/>
          <w:color w:val="000000"/>
          <w:sz w:val="32"/>
          <w:szCs w:val="32"/>
        </w:rPr>
        <w:t>辆。单位价值</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万元以上通用设备</w:t>
      </w:r>
      <w:r>
        <w:rPr>
          <w:rFonts w:ascii="Times New Roman" w:hAnsi="Times New Roman" w:eastAsia="仿宋" w:cs="Times New Roman"/>
          <w:color w:val="000000"/>
          <w:sz w:val="32"/>
          <w:szCs w:val="32"/>
        </w:rPr>
        <w:t>0</w:t>
      </w:r>
      <w:r>
        <w:rPr>
          <w:rFonts w:ascii="Times New Roman" w:hAnsi="仿宋" w:eastAsia="仿宋" w:cs="Times New Roman"/>
          <w:color w:val="000000"/>
          <w:sz w:val="32"/>
          <w:szCs w:val="32"/>
        </w:rPr>
        <w:t>台（套），单位价值</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万元以上专用设备</w:t>
      </w:r>
      <w:r>
        <w:rPr>
          <w:rFonts w:ascii="Times New Roman" w:hAnsi="Times New Roman" w:eastAsia="仿宋" w:cs="Times New Roman"/>
          <w:color w:val="000000"/>
          <w:sz w:val="32"/>
          <w:szCs w:val="32"/>
        </w:rPr>
        <w:t>0</w:t>
      </w:r>
      <w:r>
        <w:rPr>
          <w:rFonts w:ascii="Times New Roman" w:hAnsi="仿宋" w:eastAsia="仿宋" w:cs="Times New Roman"/>
          <w:color w:val="000000"/>
          <w:sz w:val="32"/>
          <w:szCs w:val="32"/>
        </w:rPr>
        <w:t>台（套）。</w:t>
      </w:r>
      <w:r>
        <w:rPr>
          <w:rFonts w:ascii="Times New Roman" w:hAnsi="Times New Roman" w:eastAsia="仿宋" w:cs="Times New Roman"/>
          <w:color w:val="000000"/>
          <w:sz w:val="32"/>
          <w:szCs w:val="32"/>
        </w:rPr>
        <w:t xml:space="preserve">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2021</w:t>
      </w:r>
      <w:r>
        <w:rPr>
          <w:rFonts w:ascii="Times New Roman" w:hAnsi="仿宋" w:eastAsia="仿宋" w:cs="Times New Roman"/>
          <w:sz w:val="32"/>
          <w:szCs w:val="32"/>
        </w:rPr>
        <w:t>年</w:t>
      </w:r>
      <w:r>
        <w:rPr>
          <w:rFonts w:hint="eastAsia" w:ascii="Times New Roman" w:hAnsi="仿宋" w:eastAsia="仿宋" w:cs="Times New Roman"/>
          <w:sz w:val="32"/>
          <w:szCs w:val="32"/>
        </w:rPr>
        <w:t>单位</w:t>
      </w:r>
      <w:r>
        <w:rPr>
          <w:rFonts w:ascii="Times New Roman" w:hAnsi="仿宋" w:eastAsia="仿宋" w:cs="Times New Roman"/>
          <w:sz w:val="32"/>
          <w:szCs w:val="32"/>
        </w:rPr>
        <w:t>预算未安排购置车辆、单位价值</w:t>
      </w:r>
      <w:r>
        <w:rPr>
          <w:rFonts w:ascii="Times New Roman" w:hAnsi="Times New Roman" w:eastAsia="仿宋" w:cs="Times New Roman"/>
          <w:sz w:val="32"/>
          <w:szCs w:val="32"/>
        </w:rPr>
        <w:t>50</w:t>
      </w:r>
      <w:r>
        <w:rPr>
          <w:rFonts w:ascii="Times New Roman" w:hAnsi="仿宋" w:eastAsia="仿宋" w:cs="Times New Roman"/>
          <w:sz w:val="32"/>
          <w:szCs w:val="32"/>
        </w:rPr>
        <w:t>万元以上通用设备及单位价值</w:t>
      </w:r>
      <w:r>
        <w:rPr>
          <w:rFonts w:ascii="Times New Roman" w:hAnsi="Times New Roman" w:eastAsia="仿宋" w:cs="Times New Roman"/>
          <w:sz w:val="32"/>
          <w:szCs w:val="32"/>
        </w:rPr>
        <w:t>100</w:t>
      </w:r>
      <w:r>
        <w:rPr>
          <w:rFonts w:ascii="Times New Roman" w:hAnsi="仿宋" w:eastAsia="仿宋" w:cs="Times New Roman"/>
          <w:sz w:val="32"/>
          <w:szCs w:val="32"/>
        </w:rPr>
        <w:t>万元以上专用设备。</w:t>
      </w:r>
    </w:p>
    <w:p>
      <w:pPr>
        <w:pStyle w:val="11"/>
        <w:widowControl w:val="0"/>
        <w:spacing w:line="560" w:lineRule="exact"/>
        <w:ind w:firstLine="643" w:firstLineChars="200"/>
        <w:rPr>
          <w:rFonts w:eastAsia="仿宋"/>
          <w:b/>
          <w:bCs/>
          <w:sz w:val="32"/>
          <w:szCs w:val="32"/>
        </w:rPr>
      </w:pPr>
      <w:r>
        <w:rPr>
          <w:rFonts w:hint="eastAsia" w:eastAsia="仿宋"/>
          <w:b/>
          <w:bCs/>
          <w:sz w:val="32"/>
          <w:szCs w:val="32"/>
        </w:rPr>
        <w:t>3</w:t>
      </w:r>
      <w:r>
        <w:rPr>
          <w:rFonts w:eastAsia="仿宋"/>
          <w:b/>
          <w:bCs/>
          <w:sz w:val="32"/>
          <w:szCs w:val="32"/>
        </w:rPr>
        <w:t>.</w:t>
      </w:r>
      <w:r>
        <w:rPr>
          <w:rFonts w:hAnsi="仿宋" w:eastAsia="仿宋"/>
          <w:b/>
          <w:bCs/>
          <w:sz w:val="32"/>
          <w:szCs w:val="32"/>
        </w:rPr>
        <w:t>绩效目标设置情况</w:t>
      </w:r>
    </w:p>
    <w:p>
      <w:pPr>
        <w:pStyle w:val="11"/>
        <w:widowControl w:val="0"/>
        <w:spacing w:line="560" w:lineRule="exact"/>
        <w:ind w:firstLine="640" w:firstLineChars="200"/>
        <w:rPr>
          <w:rFonts w:eastAsia="仿宋"/>
          <w:sz w:val="32"/>
          <w:szCs w:val="32"/>
        </w:rPr>
      </w:pPr>
      <w:r>
        <w:rPr>
          <w:rFonts w:ascii="仿宋" w:hAnsi="仿宋" w:eastAsia="仿宋"/>
          <w:sz w:val="32"/>
          <w:szCs w:val="32"/>
        </w:rPr>
        <w:t>⑴</w:t>
      </w:r>
      <w:r>
        <w:rPr>
          <w:rFonts w:hAnsi="仿宋" w:eastAsia="仿宋"/>
          <w:sz w:val="32"/>
          <w:szCs w:val="32"/>
        </w:rPr>
        <w:t>总体情况</w:t>
      </w:r>
    </w:p>
    <w:p>
      <w:pPr>
        <w:pStyle w:val="11"/>
        <w:widowControl w:val="0"/>
        <w:spacing w:line="560" w:lineRule="exact"/>
        <w:ind w:firstLine="640" w:firstLineChars="200"/>
        <w:rPr>
          <w:rFonts w:eastAsia="仿宋"/>
          <w:color w:val="000000"/>
          <w:sz w:val="32"/>
          <w:szCs w:val="32"/>
        </w:rPr>
      </w:pPr>
      <w:r>
        <w:rPr>
          <w:rFonts w:eastAsia="仿宋"/>
          <w:sz w:val="32"/>
          <w:szCs w:val="32"/>
        </w:rPr>
        <w:t>2021</w:t>
      </w:r>
      <w:r>
        <w:rPr>
          <w:rFonts w:hAnsi="仿宋" w:eastAsia="仿宋"/>
          <w:sz w:val="32"/>
          <w:szCs w:val="32"/>
        </w:rPr>
        <w:t>年</w:t>
      </w:r>
      <w:r>
        <w:rPr>
          <w:rFonts w:hAnsi="仿宋" w:eastAsia="仿宋"/>
          <w:color w:val="000000"/>
          <w:sz w:val="32"/>
          <w:szCs w:val="32"/>
        </w:rPr>
        <w:t>金华市</w:t>
      </w:r>
      <w:r>
        <w:rPr>
          <w:rFonts w:hint="eastAsia" w:hAnsi="仿宋" w:eastAsia="仿宋"/>
          <w:color w:val="000000"/>
          <w:sz w:val="32"/>
          <w:szCs w:val="32"/>
        </w:rPr>
        <w:t>“</w:t>
      </w:r>
      <w:r>
        <w:rPr>
          <w:rFonts w:hAnsi="仿宋" w:eastAsia="仿宋"/>
          <w:color w:val="000000"/>
          <w:sz w:val="32"/>
          <w:szCs w:val="32"/>
        </w:rPr>
        <w:t>一带一路”贸易投资促进中心其他运转类项目和特定目标类项目均实行绩效目标管理，涉及一般公共预算当年拨款</w:t>
      </w:r>
      <w:r>
        <w:rPr>
          <w:rFonts w:eastAsia="仿宋"/>
          <w:color w:val="000000"/>
          <w:sz w:val="32"/>
          <w:szCs w:val="32"/>
        </w:rPr>
        <w:t>44.85</w:t>
      </w:r>
      <w:r>
        <w:rPr>
          <w:rFonts w:hAnsi="仿宋" w:eastAsia="仿宋"/>
          <w:color w:val="000000"/>
          <w:sz w:val="32"/>
          <w:szCs w:val="32"/>
        </w:rPr>
        <w:t>万元。</w:t>
      </w:r>
    </w:p>
    <w:p>
      <w:pPr>
        <w:pStyle w:val="11"/>
        <w:widowControl w:val="0"/>
        <w:spacing w:line="560" w:lineRule="exact"/>
        <w:ind w:firstLine="640" w:firstLineChars="200"/>
        <w:rPr>
          <w:rFonts w:eastAsia="仿宋"/>
          <w:bCs/>
          <w:sz w:val="32"/>
          <w:szCs w:val="32"/>
        </w:rPr>
      </w:pPr>
      <w:r>
        <w:rPr>
          <w:rFonts w:ascii="仿宋" w:hAnsi="仿宋" w:eastAsia="仿宋"/>
          <w:bCs/>
          <w:sz w:val="32"/>
          <w:szCs w:val="32"/>
        </w:rPr>
        <w:t>⑵</w:t>
      </w:r>
      <w:r>
        <w:rPr>
          <w:rFonts w:hAnsi="仿宋" w:eastAsia="仿宋"/>
          <w:bCs/>
          <w:sz w:val="32"/>
          <w:szCs w:val="32"/>
        </w:rPr>
        <w:t>重点项目情况</w:t>
      </w:r>
    </w:p>
    <w:p>
      <w:pPr>
        <w:pStyle w:val="11"/>
        <w:widowControl w:val="0"/>
        <w:spacing w:line="560" w:lineRule="exact"/>
        <w:ind w:firstLine="643" w:firstLineChars="200"/>
        <w:rPr>
          <w:rFonts w:ascii="仿宋" w:hAnsi="仿宋" w:eastAsia="仿宋"/>
          <w:b/>
          <w:bCs/>
          <w:sz w:val="32"/>
          <w:szCs w:val="32"/>
        </w:rPr>
      </w:pPr>
      <w:r>
        <w:rPr>
          <w:rFonts w:ascii="仿宋" w:hAnsi="仿宋" w:eastAsia="仿宋"/>
          <w:b/>
          <w:bCs/>
          <w:sz w:val="32"/>
          <w:szCs w:val="32"/>
        </w:rPr>
        <w:t>贸易投资促进中心工作经费：30万元</w:t>
      </w:r>
    </w:p>
    <w:p>
      <w:pPr>
        <w:pStyle w:val="11"/>
        <w:widowControl w:val="0"/>
        <w:spacing w:line="560" w:lineRule="exact"/>
        <w:ind w:firstLine="640" w:firstLineChars="200"/>
        <w:rPr>
          <w:rFonts w:eastAsia="仿宋"/>
          <w:bCs/>
          <w:sz w:val="32"/>
          <w:szCs w:val="32"/>
        </w:rPr>
      </w:pPr>
      <w:r>
        <w:rPr>
          <w:rFonts w:hAnsi="仿宋" w:eastAsia="仿宋"/>
          <w:bCs/>
          <w:sz w:val="32"/>
          <w:szCs w:val="32"/>
        </w:rPr>
        <w:t>总目标：落实市政府《金华市对接 “一带一路”</w:t>
      </w:r>
      <w:r>
        <w:rPr>
          <w:rFonts w:hint="eastAsia" w:hAnsi="仿宋" w:eastAsia="仿宋"/>
          <w:bCs/>
          <w:sz w:val="32"/>
          <w:szCs w:val="32"/>
        </w:rPr>
        <w:t>倡议</w:t>
      </w:r>
      <w:r>
        <w:rPr>
          <w:rFonts w:hAnsi="仿宋" w:eastAsia="仿宋"/>
          <w:bCs/>
          <w:sz w:val="32"/>
          <w:szCs w:val="32"/>
        </w:rPr>
        <w:t>三年行动计划》，根据年度上级部门确定的 “一带一路”建设重点任务，进一步对接 “一带一路”国家政府和商协会资源，拓展国际贸易合作渠道，为政企之间，企业之间搭建合作共赢的交流平台，更好地服务金华融入 “一带一路”</w:t>
      </w:r>
      <w:r>
        <w:rPr>
          <w:rFonts w:hint="eastAsia" w:hAnsi="仿宋" w:eastAsia="仿宋"/>
          <w:bCs/>
          <w:sz w:val="32"/>
          <w:szCs w:val="32"/>
        </w:rPr>
        <w:t>倡议</w:t>
      </w:r>
      <w:r>
        <w:rPr>
          <w:rFonts w:hAnsi="仿宋" w:eastAsia="仿宋"/>
          <w:bCs/>
          <w:sz w:val="32"/>
          <w:szCs w:val="32"/>
        </w:rPr>
        <w:t>和开放型经济发展。　</w:t>
      </w:r>
    </w:p>
    <w:p>
      <w:pPr>
        <w:pStyle w:val="11"/>
        <w:widowControl w:val="0"/>
        <w:spacing w:line="560" w:lineRule="exact"/>
        <w:ind w:firstLine="640" w:firstLineChars="200"/>
        <w:rPr>
          <w:rFonts w:eastAsia="仿宋"/>
          <w:bCs/>
          <w:sz w:val="32"/>
          <w:szCs w:val="32"/>
        </w:rPr>
      </w:pPr>
      <w:r>
        <w:rPr>
          <w:rFonts w:hAnsi="仿宋" w:eastAsia="仿宋"/>
          <w:bCs/>
          <w:sz w:val="32"/>
          <w:szCs w:val="32"/>
        </w:rPr>
        <w:t>阶段性目标：做好对接 “一带一路”服务工作，确保当年各项对外重点经贸活动工作任务顺利完成。</w:t>
      </w:r>
    </w:p>
    <w:p>
      <w:pPr>
        <w:pStyle w:val="11"/>
        <w:widowControl w:val="0"/>
        <w:spacing w:line="560" w:lineRule="exact"/>
        <w:ind w:firstLine="643" w:firstLineChars="200"/>
        <w:rPr>
          <w:rFonts w:ascii="仿宋" w:hAnsi="仿宋" w:eastAsia="仿宋"/>
          <w:b/>
          <w:bCs/>
          <w:sz w:val="32"/>
          <w:szCs w:val="32"/>
        </w:rPr>
      </w:pPr>
      <w:r>
        <w:rPr>
          <w:rFonts w:ascii="仿宋" w:hAnsi="仿宋" w:eastAsia="仿宋"/>
          <w:b/>
          <w:bCs/>
          <w:sz w:val="32"/>
          <w:szCs w:val="32"/>
        </w:rPr>
        <w:t>贸易投资促进经费：8万元</w:t>
      </w:r>
    </w:p>
    <w:p>
      <w:pPr>
        <w:pStyle w:val="11"/>
        <w:widowControl w:val="0"/>
        <w:spacing w:line="560" w:lineRule="exact"/>
        <w:ind w:firstLine="640" w:firstLineChars="200"/>
        <w:rPr>
          <w:rFonts w:eastAsia="仿宋"/>
          <w:bCs/>
          <w:sz w:val="32"/>
          <w:szCs w:val="32"/>
        </w:rPr>
      </w:pPr>
      <w:r>
        <w:rPr>
          <w:rFonts w:hAnsi="仿宋" w:eastAsia="仿宋"/>
          <w:bCs/>
          <w:sz w:val="32"/>
          <w:szCs w:val="32"/>
        </w:rPr>
        <w:t>总目标：对外联络等相关工作的顺利开展，与 “一带一路”沿线重点国家贸易投资促进机构建立业务合作关系，为金华市拓展”一带一路”市场可持续发展奠定基础。</w:t>
      </w:r>
      <w:r>
        <w:rPr>
          <w:rFonts w:eastAsia="仿宋"/>
          <w:bCs/>
          <w:sz w:val="32"/>
          <w:szCs w:val="32"/>
        </w:rPr>
        <w:t xml:space="preserve">  </w:t>
      </w:r>
    </w:p>
    <w:p>
      <w:pPr>
        <w:pStyle w:val="11"/>
        <w:widowControl w:val="0"/>
        <w:spacing w:line="560" w:lineRule="exact"/>
        <w:ind w:firstLine="640" w:firstLineChars="200"/>
        <w:rPr>
          <w:rFonts w:eastAsia="仿宋"/>
          <w:bCs/>
          <w:sz w:val="32"/>
          <w:szCs w:val="32"/>
        </w:rPr>
      </w:pPr>
      <w:r>
        <w:rPr>
          <w:rFonts w:hAnsi="仿宋" w:eastAsia="仿宋"/>
          <w:bCs/>
          <w:sz w:val="32"/>
          <w:szCs w:val="32"/>
        </w:rPr>
        <w:t>阶段性目标：做好对外联络工作，确保当年各项任务的顺利完成。</w:t>
      </w:r>
    </w:p>
    <w:p>
      <w:pPr>
        <w:pStyle w:val="11"/>
        <w:widowControl w:val="0"/>
        <w:spacing w:line="560" w:lineRule="exact"/>
        <w:ind w:firstLine="643" w:firstLineChars="200"/>
        <w:rPr>
          <w:rFonts w:eastAsia="仿宋"/>
          <w:sz w:val="32"/>
          <w:szCs w:val="32"/>
        </w:rPr>
      </w:pPr>
      <w:r>
        <w:rPr>
          <w:rFonts w:eastAsia="仿宋"/>
          <w:b/>
          <w:bCs/>
          <w:sz w:val="32"/>
          <w:szCs w:val="32"/>
        </w:rPr>
        <w:t>5.</w:t>
      </w:r>
      <w:r>
        <w:rPr>
          <w:rFonts w:hAnsi="仿宋" w:eastAsia="仿宋"/>
          <w:b/>
          <w:bCs/>
          <w:sz w:val="32"/>
          <w:szCs w:val="32"/>
        </w:rPr>
        <w:t>以部门为主体的绩效目标：</w:t>
      </w:r>
      <w:r>
        <w:rPr>
          <w:rFonts w:eastAsia="仿宋"/>
          <w:sz w:val="32"/>
          <w:szCs w:val="32"/>
        </w:rPr>
        <w:t>2021</w:t>
      </w:r>
      <w:r>
        <w:rPr>
          <w:rFonts w:hAnsi="仿宋" w:eastAsia="仿宋"/>
          <w:sz w:val="32"/>
          <w:szCs w:val="32"/>
        </w:rPr>
        <w:t>年</w:t>
      </w:r>
      <w:r>
        <w:rPr>
          <w:rFonts w:hint="eastAsia" w:hAnsi="仿宋" w:eastAsia="仿宋"/>
          <w:sz w:val="32"/>
          <w:szCs w:val="32"/>
        </w:rPr>
        <w:t>没有</w:t>
      </w:r>
      <w:r>
        <w:rPr>
          <w:rFonts w:hAnsi="仿宋" w:eastAsia="仿宋"/>
          <w:sz w:val="32"/>
          <w:szCs w:val="32"/>
        </w:rPr>
        <w:t>以部门为主体的绩效目标项目。</w:t>
      </w:r>
    </w:p>
    <w:p>
      <w:pPr>
        <w:pStyle w:val="11"/>
        <w:widowControl w:val="0"/>
        <w:spacing w:line="560" w:lineRule="exact"/>
        <w:ind w:firstLine="643" w:firstLineChars="200"/>
        <w:rPr>
          <w:rStyle w:val="8"/>
          <w:rFonts w:ascii="黑体" w:hAnsi="黑体" w:eastAsia="黑体" w:cs="Times New Roman"/>
        </w:rPr>
      </w:pPr>
      <w:r>
        <w:rPr>
          <w:rStyle w:val="8"/>
          <w:rFonts w:ascii="黑体" w:hAnsi="黑体" w:eastAsia="黑体" w:cs="Times New Roman"/>
        </w:rPr>
        <w:t>三、名词解释</w:t>
      </w:r>
    </w:p>
    <w:p>
      <w:pPr>
        <w:spacing w:line="56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 w:cs="Times New Roman"/>
          <w:sz w:val="32"/>
          <w:szCs w:val="32"/>
        </w:rPr>
        <w:t xml:space="preserve"> </w:t>
      </w:r>
      <w:r>
        <w:rPr>
          <w:rFonts w:ascii="Times New Roman" w:hAnsi="Times New Roman" w:eastAsia="仿宋_GB2312" w:cs="Times New Roman"/>
          <w:b/>
          <w:bCs/>
          <w:color w:val="000000"/>
          <w:sz w:val="32"/>
          <w:szCs w:val="32"/>
        </w:rPr>
        <w:t>1.财政拨款收入：</w:t>
      </w:r>
      <w:r>
        <w:rPr>
          <w:rFonts w:ascii="Times New Roman" w:hAnsi="Times New Roman" w:eastAsia="仿宋_GB2312" w:cs="Times New Roman"/>
          <w:sz w:val="32"/>
          <w:szCs w:val="32"/>
        </w:rPr>
        <w:t>本级财政部门当年拨付的财政预算资金，包括一般公共预算财政拨款和政府性基金预算财政拨款。</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color w:val="000000"/>
          <w:sz w:val="32"/>
          <w:szCs w:val="32"/>
        </w:rPr>
        <w:t>2.财政专户管理的资金:</w:t>
      </w:r>
      <w:r>
        <w:rPr>
          <w:rFonts w:ascii="Times New Roman" w:hAnsi="Times New Roman" w:eastAsia="仿宋_GB2312" w:cs="Times New Roman"/>
          <w:bCs/>
          <w:color w:val="000000"/>
          <w:sz w:val="32"/>
          <w:szCs w:val="32"/>
        </w:rPr>
        <w:t>财政部门在银行开设的用于核算和反映政府非税收入以及其他需要</w:t>
      </w:r>
      <w:r>
        <w:rPr>
          <w:rFonts w:ascii="Times New Roman" w:hAnsi="Times New Roman" w:eastAsia="仿宋_GB2312" w:cs="Times New Roman"/>
          <w:sz w:val="32"/>
          <w:szCs w:val="32"/>
        </w:rPr>
        <w:t>专户管理的资金。</w:t>
      </w:r>
    </w:p>
    <w:p>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color w:val="000000"/>
          <w:sz w:val="32"/>
          <w:szCs w:val="32"/>
        </w:rPr>
        <w:t>3.其他收入：</w:t>
      </w:r>
      <w:r>
        <w:rPr>
          <w:rFonts w:ascii="Times New Roman" w:hAnsi="Times New Roman" w:eastAsia="仿宋_GB2312" w:cs="Times New Roman"/>
          <w:sz w:val="32"/>
          <w:szCs w:val="32"/>
        </w:rPr>
        <w:t>预算单位在“一般公共预算”、“政府性基金”、“财政专户管理的资金”等之外取得的各项收入（含上级补助收入）。</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color w:val="000000"/>
          <w:sz w:val="32"/>
          <w:szCs w:val="32"/>
        </w:rPr>
        <w:t>4.单位结余：</w:t>
      </w:r>
      <w:r>
        <w:rPr>
          <w:rFonts w:ascii="Times New Roman" w:hAnsi="Times New Roman" w:eastAsia="仿宋_GB2312" w:cs="Times New Roman"/>
          <w:bCs/>
          <w:color w:val="000000"/>
          <w:sz w:val="32"/>
          <w:szCs w:val="32"/>
        </w:rPr>
        <w:t>指事业单位在预计用当年的“财政拨款收入”、“财政专户管理资金”、“其他收入”、“上年结转”等不足以安排当年支出的情况下，使</w:t>
      </w:r>
      <w:r>
        <w:rPr>
          <w:rFonts w:ascii="Times New Roman" w:hAnsi="Times New Roman" w:eastAsia="仿宋_GB2312" w:cs="Times New Roman"/>
          <w:sz w:val="32"/>
          <w:szCs w:val="32"/>
        </w:rPr>
        <w:t>用以前年度积累的一般结余、事业基金、专用基金和专项结余等弥补本年收支缺口的资金。</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color w:val="000000"/>
          <w:sz w:val="32"/>
          <w:szCs w:val="32"/>
        </w:rPr>
        <w:t>5.上年结转：</w:t>
      </w:r>
      <w:r>
        <w:rPr>
          <w:rFonts w:ascii="Times New Roman" w:hAnsi="Times New Roman" w:eastAsia="仿宋_GB2312" w:cs="Times New Roman"/>
          <w:sz w:val="32"/>
          <w:szCs w:val="32"/>
        </w:rPr>
        <w:t>指以前年度尚未完成、结转到本年仍按原规定用途继续使用的资金。</w:t>
      </w:r>
    </w:p>
    <w:p>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color w:val="000000"/>
          <w:sz w:val="32"/>
          <w:szCs w:val="32"/>
        </w:rPr>
        <w:t>6.基本支出：</w:t>
      </w:r>
      <w:r>
        <w:rPr>
          <w:rFonts w:ascii="Times New Roman" w:hAnsi="Times New Roman" w:eastAsia="仿宋_GB2312" w:cs="Times New Roman"/>
          <w:sz w:val="32"/>
          <w:szCs w:val="32"/>
        </w:rPr>
        <w:t>是预算单位为保障其正常运转，完成日常工作任务所发生的支出，包括人员支出和日常公用支出。</w:t>
      </w:r>
    </w:p>
    <w:p>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color w:val="000000"/>
          <w:sz w:val="32"/>
          <w:szCs w:val="32"/>
        </w:rPr>
        <w:t>7.项目支出：</w:t>
      </w:r>
      <w:r>
        <w:rPr>
          <w:rFonts w:ascii="Times New Roman" w:hAnsi="Times New Roman" w:eastAsia="仿宋_GB2312" w:cs="Times New Roman"/>
          <w:sz w:val="32"/>
          <w:szCs w:val="32"/>
        </w:rPr>
        <w:t>是预算单位为完成其特定的行政工作任务或事业发展目标所发生的支出。</w:t>
      </w:r>
    </w:p>
    <w:p>
      <w:pPr>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8.“三公”经费：</w:t>
      </w:r>
      <w:r>
        <w:rPr>
          <w:rFonts w:ascii="Times New Roman" w:hAnsi="Times New Roman" w:eastAsia="仿宋_GB2312" w:cs="Times New Roman"/>
          <w:sz w:val="32"/>
          <w:szCs w:val="32"/>
        </w:rPr>
        <w:t>纳入财政预决算管理的“三公”经费，是指部门用一般公共预算财政拨款安排的因公出国（境）费、公务用车购置及运行费和公务接待费。其中，因公出国（境）费反映单位公务出国（境）的国际旅费、国外城市间交通费、住宿费、伙食费、培训费、公杂费等支出，不含教学科研人员学术交流；公务用车购置及运行费反映单位公务用车车辆购置支出（含车辆购置税）及燃费、维修费、过桥过路费、保险费、安全奖励费用等支出；公务接待费反映单位按规定开支的各类公务接待（含外宾接待）支出。</w:t>
      </w:r>
    </w:p>
    <w:p>
      <w:pPr>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9.机关运行经费：</w:t>
      </w:r>
      <w:r>
        <w:rPr>
          <w:rFonts w:ascii="Times New Roman" w:hAnsi="Times New Roman" w:eastAsia="仿宋_GB2312" w:cs="Times New Roman"/>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3"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
          <w:bCs/>
          <w:color w:val="000000"/>
          <w:sz w:val="32"/>
          <w:szCs w:val="32"/>
        </w:rPr>
        <w:t>10.</w:t>
      </w:r>
      <w:r>
        <w:rPr>
          <w:rFonts w:hint="eastAsia" w:ascii="Times New Roman" w:hAnsi="Times New Roman" w:eastAsia="仿宋_GB2312" w:cs="Times New Roman"/>
          <w:b/>
          <w:color w:val="000000"/>
          <w:sz w:val="32"/>
          <w:szCs w:val="32"/>
        </w:rPr>
        <w:t>一般公共服务支出</w:t>
      </w:r>
      <w:r>
        <w:rPr>
          <w:rFonts w:ascii="Times New Roman" w:hAnsi="Times New Roman" w:eastAsia="仿宋_GB2312" w:cs="Times New Roman"/>
          <w:b/>
          <w:color w:val="000000"/>
          <w:sz w:val="32"/>
          <w:szCs w:val="32"/>
        </w:rPr>
        <w:t>（类）</w:t>
      </w:r>
      <w:r>
        <w:rPr>
          <w:rFonts w:hint="eastAsia" w:ascii="Times New Roman" w:hAnsi="Times New Roman" w:eastAsia="仿宋_GB2312" w:cs="Times New Roman"/>
          <w:b/>
          <w:color w:val="000000"/>
          <w:sz w:val="32"/>
          <w:szCs w:val="32"/>
        </w:rPr>
        <w:t>商贸事务</w:t>
      </w:r>
      <w:r>
        <w:rPr>
          <w:rFonts w:ascii="Times New Roman" w:hAnsi="Times New Roman" w:eastAsia="仿宋_GB2312" w:cs="Times New Roman"/>
          <w:b/>
          <w:color w:val="000000"/>
          <w:sz w:val="32"/>
          <w:szCs w:val="32"/>
        </w:rPr>
        <w:t>（款）</w:t>
      </w:r>
      <w:r>
        <w:rPr>
          <w:rFonts w:hint="eastAsia" w:ascii="Times New Roman" w:hAnsi="Times New Roman" w:eastAsia="仿宋_GB2312" w:cs="Times New Roman"/>
          <w:b/>
          <w:color w:val="000000"/>
          <w:sz w:val="32"/>
          <w:szCs w:val="32"/>
        </w:rPr>
        <w:t>一般行政管理事务</w:t>
      </w:r>
      <w:r>
        <w:rPr>
          <w:rFonts w:ascii="Times New Roman" w:hAnsi="Times New Roman" w:eastAsia="仿宋_GB2312" w:cs="Times New Roman"/>
          <w:b/>
          <w:color w:val="000000"/>
          <w:sz w:val="32"/>
          <w:szCs w:val="32"/>
        </w:rPr>
        <w:t>（项）</w:t>
      </w:r>
      <w:r>
        <w:rPr>
          <w:rFonts w:hint="eastAsia" w:ascii="Times New Roman" w:hAnsi="Times New Roman" w:eastAsia="仿宋_GB2312" w:cs="Times New Roman"/>
          <w:b/>
          <w:color w:val="000000"/>
          <w:sz w:val="32"/>
          <w:szCs w:val="32"/>
        </w:rPr>
        <w:t>：</w:t>
      </w:r>
      <w:r>
        <w:rPr>
          <w:rFonts w:hint="eastAsia" w:ascii="Times New Roman" w:hAnsi="Times New Roman" w:eastAsia="仿宋_GB2312" w:cs="Times New Roman"/>
          <w:bCs/>
          <w:color w:val="000000"/>
          <w:sz w:val="32"/>
          <w:szCs w:val="32"/>
        </w:rPr>
        <w:t>反映行政单位（包括实行公务员管理的事业单位）未单独设置项级科目的其他项目支出</w:t>
      </w:r>
      <w:r>
        <w:rPr>
          <w:rFonts w:ascii="Times New Roman" w:hAnsi="Times New Roman" w:eastAsia="仿宋_GB2312" w:cs="Times New Roman"/>
          <w:bCs/>
          <w:color w:val="000000"/>
          <w:sz w:val="32"/>
          <w:szCs w:val="32"/>
        </w:rPr>
        <w:t>。</w:t>
      </w:r>
    </w:p>
    <w:p>
      <w:pPr>
        <w:spacing w:line="560" w:lineRule="exact"/>
        <w:ind w:firstLine="643" w:firstLineChars="200"/>
        <w:rPr>
          <w:rFonts w:ascii="Times New Roman" w:hAnsi="Times New Roman" w:eastAsia="仿宋_GB2312" w:cs="Times New Roman"/>
          <w:bCs/>
          <w:color w:val="000000"/>
          <w:sz w:val="32"/>
          <w:szCs w:val="32"/>
        </w:rPr>
      </w:pPr>
      <w:r>
        <w:rPr>
          <w:rFonts w:hint="eastAsia" w:ascii="Times New Roman" w:hAnsi="Times New Roman" w:eastAsia="仿宋_GB2312" w:cs="Times New Roman"/>
          <w:b/>
          <w:color w:val="000000"/>
          <w:sz w:val="32"/>
          <w:szCs w:val="32"/>
        </w:rPr>
        <w:t>11.一般公共服务支出</w:t>
      </w:r>
      <w:r>
        <w:rPr>
          <w:rFonts w:ascii="Times New Roman" w:hAnsi="Times New Roman" w:eastAsia="仿宋_GB2312" w:cs="Times New Roman"/>
          <w:b/>
          <w:color w:val="000000"/>
          <w:sz w:val="32"/>
          <w:szCs w:val="32"/>
        </w:rPr>
        <w:t>（类）</w:t>
      </w:r>
      <w:r>
        <w:rPr>
          <w:rFonts w:hint="eastAsia" w:ascii="Times New Roman" w:hAnsi="Times New Roman" w:eastAsia="仿宋_GB2312" w:cs="Times New Roman"/>
          <w:b/>
          <w:color w:val="000000"/>
          <w:sz w:val="32"/>
          <w:szCs w:val="32"/>
        </w:rPr>
        <w:t>商贸事务</w:t>
      </w:r>
      <w:r>
        <w:rPr>
          <w:rFonts w:ascii="Times New Roman" w:hAnsi="Times New Roman" w:eastAsia="仿宋_GB2312" w:cs="Times New Roman"/>
          <w:b/>
          <w:color w:val="000000"/>
          <w:sz w:val="32"/>
          <w:szCs w:val="32"/>
        </w:rPr>
        <w:t>（款）</w:t>
      </w:r>
      <w:r>
        <w:rPr>
          <w:rFonts w:hint="eastAsia" w:ascii="Times New Roman" w:hAnsi="Times New Roman" w:eastAsia="仿宋_GB2312" w:cs="Times New Roman"/>
          <w:b/>
          <w:color w:val="000000"/>
          <w:sz w:val="32"/>
          <w:szCs w:val="32"/>
        </w:rPr>
        <w:t>事业运行</w:t>
      </w:r>
      <w:r>
        <w:rPr>
          <w:rFonts w:ascii="Times New Roman" w:hAnsi="Times New Roman" w:eastAsia="仿宋_GB2312" w:cs="Times New Roman"/>
          <w:b/>
          <w:color w:val="000000"/>
          <w:sz w:val="32"/>
          <w:szCs w:val="32"/>
        </w:rPr>
        <w:t>（项）</w:t>
      </w:r>
      <w:r>
        <w:rPr>
          <w:rFonts w:hint="eastAsia" w:ascii="Times New Roman" w:hAnsi="Times New Roman" w:eastAsia="仿宋_GB2312" w:cs="Times New Roman"/>
          <w:b/>
          <w:color w:val="000000"/>
          <w:sz w:val="32"/>
          <w:szCs w:val="32"/>
        </w:rPr>
        <w:t xml:space="preserve">： </w:t>
      </w:r>
      <w:r>
        <w:rPr>
          <w:rFonts w:hint="eastAsia" w:ascii="Times New Roman" w:hAnsi="Times New Roman" w:eastAsia="仿宋_GB2312" w:cs="Times New Roman"/>
          <w:bCs/>
          <w:color w:val="000000"/>
          <w:sz w:val="32"/>
          <w:szCs w:val="32"/>
        </w:rPr>
        <w:t>反映事业单位的基本支出，不包括行政单位（包括实行公务员管理的事业单位）后勤服务中心、医务室等附属事业单位</w:t>
      </w:r>
      <w:r>
        <w:rPr>
          <w:rFonts w:ascii="Times New Roman" w:hAnsi="Times New Roman" w:eastAsia="仿宋_GB2312" w:cs="Times New Roman"/>
          <w:bCs/>
          <w:color w:val="000000"/>
          <w:sz w:val="32"/>
          <w:szCs w:val="32"/>
        </w:rPr>
        <w:t>。</w:t>
      </w:r>
    </w:p>
    <w:p>
      <w:pPr>
        <w:spacing w:line="560" w:lineRule="exact"/>
        <w:ind w:firstLine="643" w:firstLineChars="200"/>
        <w:rPr>
          <w:rFonts w:ascii="Times New Roman" w:hAnsi="Times New Roman" w:eastAsia="仿宋_GB2312" w:cs="Times New Roman"/>
          <w:bCs/>
          <w:color w:val="000000"/>
          <w:sz w:val="32"/>
          <w:szCs w:val="32"/>
        </w:rPr>
      </w:pPr>
      <w:r>
        <w:rPr>
          <w:rFonts w:hint="eastAsia" w:ascii="Times New Roman" w:hAnsi="Times New Roman" w:eastAsia="仿宋_GB2312" w:cs="Times New Roman"/>
          <w:b/>
          <w:color w:val="000000"/>
          <w:sz w:val="32"/>
          <w:szCs w:val="32"/>
        </w:rPr>
        <w:t>12.教育支出（类）进修及培训（款）培训支出（项）：</w:t>
      </w:r>
      <w:r>
        <w:rPr>
          <w:rFonts w:hint="eastAsia" w:ascii="Times New Roman" w:hAnsi="Times New Roman" w:eastAsia="仿宋_GB2312" w:cs="Times New Roman"/>
          <w:bCs/>
          <w:color w:val="000000"/>
          <w:sz w:val="32"/>
          <w:szCs w:val="32"/>
        </w:rPr>
        <w:t>反映各部门安排的用于培训的支出。教育部门的师资培训，党校、行政学院等专业干部教育机构的支出，以及退役士兵、转业士官的培训支出，不在本科目反映。</w:t>
      </w:r>
    </w:p>
    <w:p>
      <w:pPr>
        <w:spacing w:line="560" w:lineRule="exact"/>
        <w:ind w:firstLine="643" w:firstLineChars="200"/>
        <w:rPr>
          <w:rFonts w:ascii="Times New Roman" w:hAnsi="Times New Roman" w:eastAsia="仿宋_GB2312" w:cs="Times New Roman"/>
          <w:b/>
          <w:color w:val="000000"/>
          <w:sz w:val="32"/>
          <w:szCs w:val="32"/>
        </w:rPr>
      </w:pPr>
      <w:r>
        <w:rPr>
          <w:rFonts w:hint="eastAsia" w:ascii="Times New Roman" w:hAnsi="Times New Roman" w:eastAsia="仿宋_GB2312" w:cs="Times New Roman"/>
          <w:b/>
          <w:color w:val="000000"/>
          <w:sz w:val="32"/>
          <w:szCs w:val="32"/>
        </w:rPr>
        <w:t>13.社会保障和就业支出（类）行政事业单位养老支出（款）机关事业单位职业年金缴费支出（项）：</w:t>
      </w:r>
      <w:r>
        <w:rPr>
          <w:rFonts w:hint="eastAsia" w:ascii="Times New Roman" w:hAnsi="Times New Roman" w:eastAsia="仿宋_GB2312" w:cs="Times New Roman"/>
          <w:bCs/>
          <w:color w:val="000000"/>
          <w:sz w:val="32"/>
          <w:szCs w:val="32"/>
        </w:rPr>
        <w:t>反映机关事业单位实施养老保险制度由单位缴纳的职业年金支出。</w:t>
      </w:r>
    </w:p>
    <w:p>
      <w:pPr>
        <w:spacing w:line="560" w:lineRule="exact"/>
        <w:ind w:firstLine="643" w:firstLineChars="200"/>
        <w:rPr>
          <w:rFonts w:ascii="Times New Roman" w:hAnsi="Times New Roman" w:eastAsia="仿宋_GB2312" w:cs="Times New Roman"/>
          <w:bCs/>
          <w:color w:val="000000"/>
          <w:sz w:val="32"/>
          <w:szCs w:val="32"/>
        </w:rPr>
      </w:pPr>
      <w:r>
        <w:rPr>
          <w:rFonts w:hint="eastAsia" w:ascii="Times New Roman" w:hAnsi="Times New Roman" w:eastAsia="仿宋_GB2312" w:cs="Times New Roman"/>
          <w:b/>
          <w:color w:val="000000"/>
          <w:sz w:val="32"/>
          <w:szCs w:val="32"/>
        </w:rPr>
        <w:t>14.社会保障和就业支出（类）行政事业单位养老支出（款）机关事业单位基本养老保险缴费支出（项）：</w:t>
      </w:r>
      <w:r>
        <w:rPr>
          <w:rFonts w:hint="eastAsia" w:ascii="Times New Roman" w:hAnsi="Times New Roman" w:eastAsia="仿宋_GB2312" w:cs="Times New Roman"/>
          <w:bCs/>
          <w:color w:val="000000"/>
          <w:sz w:val="32"/>
          <w:szCs w:val="32"/>
        </w:rPr>
        <w:t>反映机关事业单位实施养老保险制度由单位缴纳的基本养老保险费支出。</w:t>
      </w:r>
    </w:p>
    <w:p>
      <w:pPr>
        <w:spacing w:line="560" w:lineRule="exact"/>
        <w:ind w:firstLine="643" w:firstLineChars="200"/>
        <w:rPr>
          <w:rFonts w:ascii="Times New Roman" w:hAnsi="Times New Roman" w:eastAsia="仿宋_GB2312" w:cs="Times New Roman"/>
          <w:bCs/>
          <w:color w:val="000000"/>
          <w:sz w:val="32"/>
          <w:szCs w:val="32"/>
        </w:rPr>
      </w:pPr>
      <w:r>
        <w:rPr>
          <w:rFonts w:hint="eastAsia" w:ascii="Times New Roman" w:hAnsi="Times New Roman" w:eastAsia="仿宋_GB2312" w:cs="Times New Roman"/>
          <w:b/>
          <w:color w:val="000000"/>
          <w:sz w:val="32"/>
          <w:szCs w:val="32"/>
        </w:rPr>
        <w:t>15.卫生健康支出（类）行政事业单位医疗（款）事业单位医疗（项）：</w:t>
      </w:r>
      <w:r>
        <w:rPr>
          <w:rFonts w:hint="eastAsia" w:ascii="Times New Roman" w:hAnsi="Times New Roman" w:eastAsia="仿宋_GB2312" w:cs="Times New Roman"/>
          <w:bCs/>
          <w:color w:val="000000"/>
          <w:sz w:val="32"/>
          <w:szCs w:val="32"/>
        </w:rPr>
        <w:t>反映财政部门安排的事业单位基本医疗保险缴费经费，未参加医疗保险的事业单位的公费医疗经费，按国家规定享受离休人员待遇的医疗经费。</w:t>
      </w:r>
    </w:p>
    <w:p>
      <w:pPr>
        <w:spacing w:line="560" w:lineRule="exact"/>
        <w:ind w:firstLine="643" w:firstLineChars="200"/>
        <w:rPr>
          <w:rFonts w:ascii="Times New Roman" w:hAnsi="Times New Roman" w:eastAsia="仿宋" w:cs="Times New Roman"/>
          <w:sz w:val="32"/>
          <w:szCs w:val="32"/>
        </w:rPr>
      </w:pPr>
      <w:r>
        <w:rPr>
          <w:rFonts w:hint="eastAsia" w:ascii="Times New Roman" w:hAnsi="Times New Roman" w:eastAsia="仿宋_GB2312" w:cs="Times New Roman"/>
          <w:b/>
          <w:color w:val="000000"/>
          <w:sz w:val="32"/>
          <w:szCs w:val="32"/>
        </w:rPr>
        <w:t>16.住房保障支出（类）住房改革支出（款）住房公积金（项）：</w:t>
      </w:r>
      <w:r>
        <w:rPr>
          <w:rFonts w:hint="eastAsia" w:ascii="Times New Roman" w:hAnsi="Times New Roman" w:eastAsia="仿宋_GB2312" w:cs="Times New Roman"/>
          <w:bCs/>
          <w:color w:val="000000"/>
          <w:sz w:val="32"/>
          <w:szCs w:val="32"/>
        </w:rPr>
        <w:t>反映行政事业单位按人力资源和社会保障部、财政部规定的基本工资和津贴补贴以及规定比例为职工缴纳的住房公积金。</w:t>
      </w:r>
    </w:p>
    <w:p>
      <w:pPr>
        <w:spacing w:line="560" w:lineRule="exact"/>
        <w:jc w:val="right"/>
        <w:rPr>
          <w:rFonts w:ascii="Times New Roman" w:hAnsi="Times New Roman" w:eastAsia="仿宋" w:cs="Times New Roman"/>
          <w:sz w:val="32"/>
          <w:szCs w:val="32"/>
        </w:rPr>
      </w:pPr>
    </w:p>
    <w:p>
      <w:pPr>
        <w:spacing w:line="560" w:lineRule="exact"/>
        <w:jc w:val="right"/>
        <w:rPr>
          <w:rFonts w:ascii="Times New Roman" w:hAnsi="Times New Roman" w:eastAsia="仿宋" w:cs="Times New Roman"/>
          <w:sz w:val="32"/>
          <w:szCs w:val="32"/>
        </w:rPr>
      </w:pPr>
    </w:p>
    <w:p>
      <w:pPr>
        <w:spacing w:line="560" w:lineRule="exact"/>
        <w:jc w:val="right"/>
        <w:rPr>
          <w:rFonts w:ascii="Times New Roman" w:hAnsi="仿宋" w:eastAsia="仿宋" w:cs="Times New Roman"/>
          <w:sz w:val="32"/>
          <w:szCs w:val="32"/>
        </w:rPr>
      </w:pPr>
      <w:r>
        <w:rPr>
          <w:rFonts w:ascii="Times New Roman" w:hAnsi="仿宋" w:eastAsia="仿宋" w:cs="Times New Roman"/>
          <w:sz w:val="32"/>
          <w:szCs w:val="32"/>
        </w:rPr>
        <w:t>金华市 “一带一路”贸易投资促进中心</w:t>
      </w:r>
    </w:p>
    <w:p>
      <w:pPr>
        <w:spacing w:line="560" w:lineRule="exact"/>
        <w:ind w:right="640" w:firstLine="4000" w:firstLineChars="1250"/>
        <w:rPr>
          <w:rFonts w:ascii="Times New Roman" w:hAnsi="Times New Roman" w:eastAsia="仿宋" w:cs="Times New Roman"/>
          <w:sz w:val="32"/>
          <w:szCs w:val="32"/>
        </w:rPr>
      </w:pPr>
      <w:r>
        <w:rPr>
          <w:rFonts w:ascii="Times New Roman" w:hAnsi="Times New Roman" w:eastAsia="仿宋" w:cs="Times New Roman"/>
          <w:sz w:val="32"/>
          <w:szCs w:val="32"/>
        </w:rPr>
        <w:t xml:space="preserve">  2021</w:t>
      </w:r>
      <w:r>
        <w:rPr>
          <w:rFonts w:ascii="Times New Roman" w:hAnsi="仿宋" w:eastAsia="仿宋" w:cs="Times New Roman"/>
          <w:sz w:val="32"/>
          <w:szCs w:val="32"/>
        </w:rPr>
        <w:t>年</w:t>
      </w:r>
      <w:r>
        <w:rPr>
          <w:rFonts w:ascii="Times New Roman" w:hAnsi="Times New Roman" w:eastAsia="仿宋" w:cs="Times New Roman"/>
          <w:sz w:val="32"/>
          <w:szCs w:val="32"/>
        </w:rPr>
        <w:t>3</w:t>
      </w:r>
      <w:r>
        <w:rPr>
          <w:rFonts w:ascii="Times New Roman" w:hAnsi="仿宋" w:eastAsia="仿宋" w:cs="Times New Roman"/>
          <w:sz w:val="32"/>
          <w:szCs w:val="32"/>
        </w:rPr>
        <w:t>月</w:t>
      </w:r>
      <w:r>
        <w:rPr>
          <w:rFonts w:ascii="Times New Roman" w:hAnsi="Times New Roman" w:eastAsia="仿宋" w:cs="Times New Roman"/>
          <w:sz w:val="32"/>
          <w:szCs w:val="32"/>
        </w:rPr>
        <w:t>2</w:t>
      </w:r>
      <w:r>
        <w:rPr>
          <w:rFonts w:hint="eastAsia" w:ascii="Times New Roman" w:hAnsi="Times New Roman" w:eastAsia="仿宋" w:cs="Times New Roman"/>
          <w:sz w:val="32"/>
          <w:szCs w:val="32"/>
        </w:rPr>
        <w:t>3</w:t>
      </w:r>
      <w:r>
        <w:rPr>
          <w:rFonts w:ascii="Times New Roman" w:hAnsi="仿宋" w:eastAsia="仿宋" w:cs="Times New Roman"/>
          <w:sz w:val="32"/>
          <w:szCs w:val="32"/>
        </w:rPr>
        <w:t>日</w:t>
      </w:r>
    </w:p>
    <w:sectPr>
      <w:footerReference r:id="rId3" w:type="default"/>
      <w:pgSz w:w="11906" w:h="16838"/>
      <w:pgMar w:top="1440" w:right="1800" w:bottom="1440" w:left="1800" w:header="851" w:footer="992" w:gutter="0"/>
      <w:pgNumType w:fmt="numberInDash"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48434"/>
    </w:sdtPr>
    <w:sdtEndPr>
      <w:rPr>
        <w:rFonts w:asciiTheme="majorEastAsia" w:hAnsiTheme="majorEastAsia" w:eastAsiaTheme="majorEastAsia"/>
        <w:sz w:val="28"/>
        <w:szCs w:val="28"/>
      </w:rPr>
    </w:sdtEndPr>
    <w:sdtContent>
      <w:p>
        <w:pPr>
          <w:pStyle w:val="4"/>
          <w:jc w:val="right"/>
          <w:rPr>
            <w:rFonts w:asciiTheme="majorEastAsia" w:hAnsiTheme="majorEastAsia" w:eastAsiaTheme="majorEastAsia"/>
            <w:sz w:val="28"/>
            <w:szCs w:val="28"/>
          </w:rPr>
        </w:pP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5A99C"/>
    <w:multiLevelType w:val="singleLevel"/>
    <w:tmpl w:val="5895A99C"/>
    <w:lvl w:ilvl="0" w:tentative="0">
      <w:start w:val="5"/>
      <w:numFmt w:val="chineseCounting"/>
      <w:suff w:val="nothing"/>
      <w:lvlText w:val="（%1）"/>
      <w:lvlJc w:val="left"/>
      <w:rPr>
        <w:rFonts w:ascii="楷体" w:hAnsi="楷体" w:eastAsia="楷体"/>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I5Yzk4NTc0MTFhMjMzMGY1ZGFkNDU4NWI1NzdlMzYifQ=="/>
  </w:docVars>
  <w:rsids>
    <w:rsidRoot w:val="002F0574"/>
    <w:rsid w:val="00020D4C"/>
    <w:rsid w:val="000402EC"/>
    <w:rsid w:val="000A46D9"/>
    <w:rsid w:val="000E6662"/>
    <w:rsid w:val="001E66B2"/>
    <w:rsid w:val="002C275E"/>
    <w:rsid w:val="002D2A29"/>
    <w:rsid w:val="002E3963"/>
    <w:rsid w:val="002F0574"/>
    <w:rsid w:val="003D0464"/>
    <w:rsid w:val="003E7A09"/>
    <w:rsid w:val="00407560"/>
    <w:rsid w:val="00442493"/>
    <w:rsid w:val="00444CA3"/>
    <w:rsid w:val="004551CF"/>
    <w:rsid w:val="004A4FBD"/>
    <w:rsid w:val="004B5F14"/>
    <w:rsid w:val="004F386D"/>
    <w:rsid w:val="00537806"/>
    <w:rsid w:val="005611B3"/>
    <w:rsid w:val="00612A8B"/>
    <w:rsid w:val="00624D19"/>
    <w:rsid w:val="0065087B"/>
    <w:rsid w:val="006D1630"/>
    <w:rsid w:val="00720748"/>
    <w:rsid w:val="007329A3"/>
    <w:rsid w:val="00766896"/>
    <w:rsid w:val="007A406E"/>
    <w:rsid w:val="00855FB1"/>
    <w:rsid w:val="00862DAB"/>
    <w:rsid w:val="00862E81"/>
    <w:rsid w:val="008637CB"/>
    <w:rsid w:val="00896698"/>
    <w:rsid w:val="00975297"/>
    <w:rsid w:val="009B1D38"/>
    <w:rsid w:val="009B4576"/>
    <w:rsid w:val="009E41E5"/>
    <w:rsid w:val="009E6BD9"/>
    <w:rsid w:val="00A432D3"/>
    <w:rsid w:val="00A74944"/>
    <w:rsid w:val="00A92338"/>
    <w:rsid w:val="00A95AF2"/>
    <w:rsid w:val="00AB79AC"/>
    <w:rsid w:val="00AD613C"/>
    <w:rsid w:val="00AF5865"/>
    <w:rsid w:val="00B20872"/>
    <w:rsid w:val="00B27265"/>
    <w:rsid w:val="00B53F38"/>
    <w:rsid w:val="00B561F6"/>
    <w:rsid w:val="00BC02B7"/>
    <w:rsid w:val="00BC415C"/>
    <w:rsid w:val="00C65EF6"/>
    <w:rsid w:val="00CC28DD"/>
    <w:rsid w:val="00CD54CF"/>
    <w:rsid w:val="00CE365A"/>
    <w:rsid w:val="00D16E7C"/>
    <w:rsid w:val="00DE0199"/>
    <w:rsid w:val="00E36E9F"/>
    <w:rsid w:val="00E60DBF"/>
    <w:rsid w:val="00EB7422"/>
    <w:rsid w:val="00F16767"/>
    <w:rsid w:val="00F175B3"/>
    <w:rsid w:val="00F61F26"/>
    <w:rsid w:val="00F70604"/>
    <w:rsid w:val="00FC025A"/>
    <w:rsid w:val="00FC0DF8"/>
    <w:rsid w:val="00FE47D9"/>
    <w:rsid w:val="037554BB"/>
    <w:rsid w:val="0487337A"/>
    <w:rsid w:val="0CC94934"/>
    <w:rsid w:val="0E663E19"/>
    <w:rsid w:val="1F2E7ABD"/>
    <w:rsid w:val="2EE6088A"/>
    <w:rsid w:val="31E73904"/>
    <w:rsid w:val="3D6B204C"/>
    <w:rsid w:val="3E965992"/>
    <w:rsid w:val="3EAF5DC8"/>
    <w:rsid w:val="3EDA521D"/>
    <w:rsid w:val="45FA314B"/>
    <w:rsid w:val="465F7543"/>
    <w:rsid w:val="61202B3F"/>
    <w:rsid w:val="661907B2"/>
    <w:rsid w:val="6D162D3D"/>
    <w:rsid w:val="7229002C"/>
    <w:rsid w:val="72FC7ABF"/>
    <w:rsid w:val="766B7D33"/>
    <w:rsid w:val="7D156AAC"/>
    <w:rsid w:val="7E6C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3">
    <w:name w:val="Balloon Text"/>
    <w:basedOn w:val="1"/>
    <w:link w:val="12"/>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rFonts w:ascii="宋体" w:hAnsi="宋体" w:cs="Courier New"/>
      <w:b/>
      <w:bCs/>
      <w:sz w:val="32"/>
      <w:szCs w:val="32"/>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99"/>
    <w:rPr>
      <w:sz w:val="18"/>
      <w:szCs w:val="18"/>
    </w:rPr>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批注框文本 Char"/>
    <w:basedOn w:val="7"/>
    <w:link w:val="3"/>
    <w:semiHidden/>
    <w:qFormat/>
    <w:uiPriority w:val="99"/>
    <w:rPr>
      <w:sz w:val="18"/>
      <w:szCs w:val="18"/>
    </w:rPr>
  </w:style>
  <w:style w:type="paragraph" w:customStyle="1" w:styleId="13">
    <w:name w:val="Char"/>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882</Words>
  <Characters>5030</Characters>
  <Lines>41</Lines>
  <Paragraphs>11</Paragraphs>
  <TotalTime>0</TotalTime>
  <ScaleCrop>false</ScaleCrop>
  <LinksUpToDate>false</LinksUpToDate>
  <CharactersWithSpaces>5901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2019-03-12T09:08:00Z</dcterms:created>
  <dc:creator>王颖</dc:creator>
  <cp:lastModifiedBy>Administrator</cp:lastModifiedBy>
  <cp:lastPrinted>2021-03-11T09:17:00Z</cp:lastPrinted>
  <dcterms:modified xsi:type="dcterms:W3CDTF">2023-09-13T09:28:41Z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5ADB6DAB94C14FA2895AC477E024BEE6</vt:lpwstr>
  </property>
</Properties>
</file>